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5.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S22"/>
        <w:rPr/>
      </w:pPr>
      <w:r>
        <w:rPr/>
      </w:r>
    </w:p>
    <w:p>
      <w:pPr>
        <w:pStyle w:val="S22"/>
        <w:rPr/>
      </w:pPr>
      <w:r>
        <w:rPr/>
      </w:r>
    </w:p>
    <w:tbl>
      <w:tblPr>
        <w:tblW w:w="9570" w:type="dxa"/>
        <w:jc w:val="left"/>
        <w:tblInd w:w="0" w:type="dxa"/>
        <w:tblLayout w:type="fixed"/>
        <w:tblCellMar>
          <w:top w:w="0" w:type="dxa"/>
          <w:left w:w="108" w:type="dxa"/>
          <w:bottom w:w="0" w:type="dxa"/>
          <w:right w:w="108" w:type="dxa"/>
        </w:tblCellMar>
        <w:tblLook w:val="01e0"/>
      </w:tblPr>
      <w:tblGrid>
        <w:gridCol w:w="9570"/>
      </w:tblGrid>
      <w:tr>
        <w:trPr/>
        <w:tc>
          <w:tcPr>
            <w:tcW w:w="9570" w:type="dxa"/>
            <w:tcBorders>
              <w:top w:val="single" w:sz="12" w:space="0" w:color="000000"/>
              <w:bottom w:val="single" w:sz="12" w:space="0" w:color="000000"/>
            </w:tcBorders>
          </w:tcPr>
          <w:p>
            <w:pPr>
              <w:pStyle w:val="S22"/>
              <w:widowControl w:val="false"/>
              <w:rPr/>
            </w:pPr>
            <w:r>
              <w:rPr/>
            </w:r>
          </w:p>
          <w:p>
            <w:pPr>
              <w:pStyle w:val="S22"/>
              <w:widowControl w:val="false"/>
              <w:rPr>
                <w:lang w:val="en-US"/>
              </w:rPr>
            </w:pPr>
            <w:r>
              <w:rPr>
                <w:lang w:val="en-US"/>
              </w:rPr>
              <w:t>SUEK OJSC</w:t>
            </w:r>
          </w:p>
          <w:p>
            <w:pPr>
              <w:pStyle w:val="S22"/>
              <w:widowControl w:val="false"/>
              <w:rPr/>
            </w:pPr>
            <w:r>
              <w:rPr/>
            </w:r>
          </w:p>
        </w:tc>
      </w:tr>
      <w:tr>
        <w:trPr/>
        <w:tc>
          <w:tcPr>
            <w:tcW w:w="9570" w:type="dxa"/>
            <w:tcBorders>
              <w:top w:val="single" w:sz="12" w:space="0" w:color="000000"/>
              <w:bottom w:val="single" w:sz="12" w:space="0" w:color="000000"/>
            </w:tcBorders>
          </w:tcPr>
          <w:p>
            <w:pPr>
              <w:pStyle w:val="S22"/>
              <w:widowControl w:val="false"/>
              <w:rPr/>
            </w:pPr>
            <w:r>
              <w:rPr/>
            </w:r>
          </w:p>
          <w:p>
            <w:pPr>
              <w:pStyle w:val="S22"/>
              <w:widowControl w:val="false"/>
              <w:rPr>
                <w:lang w:val="en-US"/>
              </w:rPr>
            </w:pPr>
            <w:r>
              <w:rPr>
                <w:lang w:val="en-US"/>
              </w:rPr>
              <w:t>Environmental Policy</w:t>
            </w:r>
          </w:p>
          <w:p>
            <w:pPr>
              <w:pStyle w:val="S22"/>
              <w:widowControl w:val="false"/>
              <w:rPr/>
            </w:pPr>
            <w:r>
              <w:rPr/>
            </w:r>
          </w:p>
          <w:p>
            <w:pPr>
              <w:pStyle w:val="S22"/>
              <w:widowControl w:val="false"/>
              <w:rPr/>
            </w:pPr>
            <w:r>
              <w:rPr/>
            </w:r>
          </w:p>
        </w:tc>
      </w:tr>
    </w:tbl>
    <w:p>
      <w:pPr>
        <w:pStyle w:val="S201"/>
        <w:rPr/>
      </w:pPr>
      <w:r>
        <w:rPr>
          <w:lang w:val="en-US"/>
        </w:rPr>
        <w:t>Version</w:t>
      </w:r>
      <w:r>
        <w:rPr/>
        <w:t xml:space="preserve"> 2.0</w:t>
      </w:r>
    </w:p>
    <w:p>
      <w:pPr>
        <w:pStyle w:val="S201"/>
        <w:rPr>
          <w:lang w:val="en-US"/>
        </w:rPr>
      </w:pPr>
      <w:r>
        <w:rPr>
          <w:lang w:val="en-US"/>
        </w:rPr>
        <w:t>Moscow</w:t>
      </w:r>
    </w:p>
    <w:p>
      <w:pPr>
        <w:pStyle w:val="S201"/>
        <w:rPr/>
      </w:pPr>
      <w:r>
        <w:rPr/>
      </w:r>
    </w:p>
    <w:p>
      <w:pPr>
        <w:pStyle w:val="S201"/>
        <w:rPr/>
      </w:pPr>
      <w:r>
        <w:rPr/>
      </w:r>
    </w:p>
    <w:p>
      <w:pPr>
        <w:pStyle w:val="S201"/>
        <w:rPr/>
      </w:pPr>
      <w:r>
        <w:rPr/>
      </w:r>
    </w:p>
    <w:p>
      <w:pPr>
        <w:pStyle w:val="S201"/>
        <w:rPr/>
      </w:pPr>
      <w:r>
        <w:rPr/>
      </w:r>
    </w:p>
    <w:p>
      <w:pPr>
        <w:pStyle w:val="S201"/>
        <w:rPr>
          <w:lang w:val="en-US"/>
        </w:rPr>
      </w:pPr>
      <w:r>
        <w:rPr>
          <w:lang w:val="en-US"/>
        </w:rPr>
      </w:r>
    </w:p>
    <w:p>
      <w:pPr>
        <w:pStyle w:val="S201"/>
        <w:rPr>
          <w:lang w:val="en-US"/>
        </w:rPr>
      </w:pPr>
      <w:r>
        <w:rPr>
          <w:lang w:val="en-US"/>
        </w:rPr>
      </w:r>
    </w:p>
    <w:p>
      <w:pPr>
        <w:pStyle w:val="S201"/>
        <w:rPr>
          <w:lang w:val="en-US"/>
        </w:rPr>
      </w:pPr>
      <w:r>
        <w:rPr>
          <w:lang w:val="en-US"/>
        </w:rPr>
      </w:r>
    </w:p>
    <w:p>
      <w:pPr>
        <w:pStyle w:val="S201"/>
        <w:rPr>
          <w:lang w:val="en-US"/>
        </w:rPr>
      </w:pPr>
      <w:r>
        <w:rPr>
          <w:lang w:val="en-US"/>
        </w:rPr>
      </w:r>
    </w:p>
    <w:p>
      <w:pPr>
        <w:pStyle w:val="S201"/>
        <w:rPr>
          <w:lang w:val="en-US"/>
        </w:rPr>
      </w:pPr>
      <w:r>
        <w:rPr>
          <w:lang w:val="en-US"/>
        </w:rPr>
        <w:t>Information on the document</w:t>
      </w:r>
    </w:p>
    <w:p>
      <w:pPr>
        <w:pStyle w:val="S201"/>
        <w:rPr/>
      </w:pPr>
      <w:r>
        <w:rPr/>
      </w:r>
    </w:p>
    <w:p>
      <w:pPr>
        <w:pStyle w:val="S28"/>
        <w:numPr>
          <w:ilvl w:val="0"/>
          <w:numId w:val="1"/>
        </w:numPr>
        <w:rPr>
          <w:lang w:val="en-US"/>
        </w:rPr>
      </w:pPr>
      <w:r>
        <w:rPr>
          <w:lang w:val="en-US"/>
        </w:rPr>
        <w:t>The policy has been approved and made effective December 28, 2010 by the Order No. 142.</w:t>
      </w:r>
    </w:p>
    <w:p>
      <w:pPr>
        <w:pStyle w:val="S28"/>
        <w:numPr>
          <w:ilvl w:val="0"/>
          <w:numId w:val="1"/>
        </w:numPr>
        <w:ind w:left="340" w:hanging="340"/>
        <w:rPr>
          <w:lang w:val="en-US"/>
        </w:rPr>
      </w:pPr>
      <w:r>
        <w:rPr>
          <w:lang w:val="en-US"/>
        </w:rPr>
        <w:t xml:space="preserve">VERSION 2.0. was put in force in substitution for the Environmental Policy (version 1.0) that had been approved by the Board of Directors of SUEK OJSC on </w:t>
      </w:r>
      <w:r>
        <w:rPr>
          <w:color w:val="000000"/>
          <w:szCs w:val="24"/>
          <w:lang w:val="en-US"/>
        </w:rPr>
        <w:t>November 03, 2006</w:t>
      </w:r>
      <w:r>
        <w:rPr>
          <w:lang w:val="en-US"/>
        </w:rPr>
        <w:t>.</w:t>
      </w:r>
    </w:p>
    <w:p>
      <w:pPr>
        <w:sectPr>
          <w:headerReference w:type="default" r:id="rId2"/>
          <w:footerReference w:type="default" r:id="rId3"/>
          <w:type w:val="nextPage"/>
          <w:pgSz w:w="11906" w:h="16838"/>
          <w:pgMar w:left="1134" w:right="1134" w:header="709" w:top="964" w:footer="709" w:bottom="964" w:gutter="0"/>
          <w:pgNumType w:fmt="decimal"/>
          <w:formProt w:val="false"/>
          <w:textDirection w:val="lrTb"/>
          <w:docGrid w:type="default" w:linePitch="360" w:charSpace="0"/>
        </w:sectPr>
        <w:pStyle w:val="S001"/>
        <w:rPr>
          <w:lang w:val="en-US"/>
        </w:rPr>
      </w:pPr>
      <w:r>
        <w:rPr>
          <w:lang w:val="en-US"/>
        </w:rPr>
      </w:r>
    </w:p>
    <w:p>
      <w:pPr>
        <w:pStyle w:val="S22"/>
        <w:rPr>
          <w:color w:val="000000"/>
          <w:sz w:val="34"/>
          <w:szCs w:val="34"/>
          <w:lang w:val="en-US"/>
        </w:rPr>
      </w:pPr>
      <w:r>
        <w:rPr>
          <w:color w:val="000000"/>
          <w:sz w:val="34"/>
          <w:szCs w:val="34"/>
          <w:lang w:val="en-US"/>
        </w:rPr>
        <w:t xml:space="preserve">Environmental Policy </w:t>
      </w:r>
    </w:p>
    <w:p>
      <w:pPr>
        <w:pStyle w:val="S22"/>
        <w:rPr>
          <w:sz w:val="32"/>
          <w:szCs w:val="32"/>
          <w:lang w:val="en-US"/>
        </w:rPr>
      </w:pPr>
      <w:r>
        <w:rPr>
          <w:color w:val="000000"/>
          <w:sz w:val="34"/>
          <w:szCs w:val="34"/>
          <w:lang w:val="en-US"/>
        </w:rPr>
        <w:t>Open Joint Stock Company “Siberian Coal Energy Company”</w:t>
      </w:r>
      <w:bookmarkStart w:id="4" w:name="_Toc136168994"/>
      <w:bookmarkStart w:id="5" w:name="_Toc107922100"/>
      <w:bookmarkStart w:id="6" w:name="_Toc107650103"/>
      <w:bookmarkStart w:id="7" w:name="_Toc107392781"/>
      <w:bookmarkStart w:id="8" w:name="_Toc107219318"/>
      <w:bookmarkStart w:id="9" w:name="_Toc107145135"/>
      <w:bookmarkStart w:id="10" w:name="_Toc107046021"/>
      <w:bookmarkStart w:id="11" w:name="_Toc521812774"/>
      <w:bookmarkStart w:id="12" w:name="_Toc521305170"/>
      <w:bookmarkEnd w:id="4"/>
      <w:bookmarkEnd w:id="5"/>
      <w:bookmarkEnd w:id="6"/>
      <w:bookmarkEnd w:id="7"/>
      <w:bookmarkEnd w:id="8"/>
      <w:bookmarkEnd w:id="9"/>
      <w:bookmarkEnd w:id="10"/>
      <w:bookmarkEnd w:id="11"/>
      <w:bookmarkEnd w:id="12"/>
    </w:p>
    <w:p>
      <w:pPr>
        <w:pStyle w:val="02"/>
        <w:tabs>
          <w:tab w:val="clear" w:pos="700"/>
        </w:tabs>
        <w:ind w:hanging="0"/>
        <w:rPr>
          <w:sz w:val="24"/>
          <w:szCs w:val="24"/>
          <w:lang w:val="en-US"/>
        </w:rPr>
      </w:pPr>
      <w:r>
        <w:rPr>
          <w:sz w:val="24"/>
          <w:szCs w:val="24"/>
          <w:lang w:val="en-US"/>
        </w:rPr>
        <w:t>Introduction</w:t>
      </w:r>
    </w:p>
    <w:p>
      <w:pPr>
        <w:pStyle w:val="Normal"/>
        <w:spacing w:before="0" w:after="120"/>
        <w:ind w:right="-1" w:firstLine="340"/>
        <w:rPr>
          <w:color w:val="000000"/>
          <w:lang w:val="en-US"/>
        </w:rPr>
      </w:pPr>
      <w:r>
        <w:rPr>
          <w:color w:val="000000"/>
          <w:lang w:val="en-US"/>
        </w:rPr>
        <w:t>Open Joint Stock Company “Siberian Coal Energy Company” (hereinafter – the Company) is fully aware of the environmental impact of its industrial activities and its responsibility to the society. The Company adheres to the concept of sustainable development based on the balance of the financial, economic, environmental and social aspects of the activity. Working towards preservation of the healthy environment for the future generations, the Company is determined to follow up on the environmental and social commitments enshrined in this Environmental Policy.</w:t>
      </w:r>
    </w:p>
    <w:p>
      <w:pPr>
        <w:pStyle w:val="02"/>
        <w:tabs>
          <w:tab w:val="clear" w:pos="700"/>
        </w:tabs>
        <w:ind w:hanging="0"/>
        <w:rPr>
          <w:sz w:val="24"/>
          <w:szCs w:val="24"/>
          <w:lang w:val="en-US"/>
        </w:rPr>
      </w:pPr>
      <w:r>
        <w:rPr>
          <w:sz w:val="24"/>
          <w:szCs w:val="24"/>
          <w:lang w:val="en-US"/>
        </w:rPr>
        <w:t>Core principles of the Company in the natural resource management, environmental protection and ecological safety are:</w:t>
      </w:r>
    </w:p>
    <w:p>
      <w:pPr>
        <w:pStyle w:val="Normal"/>
        <w:numPr>
          <w:ilvl w:val="0"/>
          <w:numId w:val="3"/>
        </w:numPr>
        <w:tabs>
          <w:tab w:val="clear" w:pos="709"/>
          <w:tab w:val="left" w:pos="284" w:leader="none"/>
          <w:tab w:val="left" w:pos="9355" w:leader="none"/>
        </w:tabs>
        <w:spacing w:before="0" w:after="192"/>
        <w:ind w:left="284" w:right="-1" w:hanging="284"/>
        <w:rPr>
          <w:color w:val="000000"/>
          <w:lang w:val="en-US"/>
        </w:rPr>
      </w:pPr>
      <w:r>
        <w:rPr>
          <w:color w:val="000000"/>
          <w:lang w:val="en-US"/>
        </w:rPr>
        <w:t>pursuit of leadership in the industry in matters of environmental management;</w:t>
      </w:r>
    </w:p>
    <w:p>
      <w:pPr>
        <w:pStyle w:val="Normal"/>
        <w:numPr>
          <w:ilvl w:val="0"/>
          <w:numId w:val="3"/>
        </w:numPr>
        <w:tabs>
          <w:tab w:val="clear" w:pos="709"/>
          <w:tab w:val="left" w:pos="284" w:leader="none"/>
          <w:tab w:val="left" w:pos="9355" w:leader="none"/>
        </w:tabs>
        <w:spacing w:before="0" w:after="192"/>
        <w:ind w:left="284" w:right="-1" w:hanging="284"/>
        <w:rPr>
          <w:color w:val="000000"/>
          <w:lang w:val="en-US"/>
        </w:rPr>
      </w:pPr>
      <w:r>
        <w:rPr>
          <w:color w:val="000000"/>
          <w:lang w:val="en-US"/>
        </w:rPr>
        <w:t xml:space="preserve">improvement of </w:t>
      </w:r>
      <w:r>
        <w:rPr>
          <w:lang w:val="en-US"/>
        </w:rPr>
        <w:t xml:space="preserve">ecological safety of the </w:t>
      </w:r>
      <w:r>
        <w:rPr>
          <w:color w:val="000000"/>
          <w:lang w:val="en-US"/>
        </w:rPr>
        <w:t>industrial activities;</w:t>
      </w:r>
    </w:p>
    <w:p>
      <w:pPr>
        <w:pStyle w:val="Normal"/>
        <w:numPr>
          <w:ilvl w:val="0"/>
          <w:numId w:val="3"/>
        </w:numPr>
        <w:tabs>
          <w:tab w:val="clear" w:pos="709"/>
          <w:tab w:val="left" w:pos="284" w:leader="none"/>
          <w:tab w:val="left" w:pos="9355" w:leader="none"/>
        </w:tabs>
        <w:spacing w:before="0" w:after="192"/>
        <w:ind w:left="284" w:right="-1" w:hanging="284"/>
        <w:rPr>
          <w:color w:val="000000"/>
          <w:lang w:val="en-US"/>
        </w:rPr>
      </w:pPr>
      <w:r>
        <w:rPr>
          <w:color w:val="000000"/>
          <w:lang w:val="en-US"/>
        </w:rPr>
        <w:t>stepwise reduction of the negative anthropogenic impact on the environment (in terms of reduction of the specific pollutants contained in the emissions and discharges and waste reduction);</w:t>
      </w:r>
    </w:p>
    <w:p>
      <w:pPr>
        <w:pStyle w:val="Normal"/>
        <w:numPr>
          <w:ilvl w:val="0"/>
          <w:numId w:val="3"/>
        </w:numPr>
        <w:tabs>
          <w:tab w:val="clear" w:pos="709"/>
          <w:tab w:val="left" w:pos="284" w:leader="none"/>
          <w:tab w:val="left" w:pos="9355" w:leader="none"/>
        </w:tabs>
        <w:spacing w:before="0" w:after="192"/>
        <w:ind w:left="284" w:right="-1" w:hanging="284"/>
        <w:rPr>
          <w:color w:val="000000"/>
          <w:lang w:val="en-US"/>
        </w:rPr>
      </w:pPr>
      <w:r>
        <w:rPr>
          <w:color w:val="000000"/>
          <w:lang w:val="en-US"/>
        </w:rPr>
        <w:t>enhancement of efficient use of the natural resources and energy.</w:t>
      </w:r>
    </w:p>
    <w:p>
      <w:pPr>
        <w:pStyle w:val="02"/>
        <w:tabs>
          <w:tab w:val="clear" w:pos="700"/>
        </w:tabs>
        <w:ind w:hanging="0"/>
        <w:rPr>
          <w:b w:val="false"/>
          <w:b w:val="false"/>
          <w:sz w:val="24"/>
          <w:szCs w:val="24"/>
          <w:lang w:val="en-US"/>
        </w:rPr>
      </w:pPr>
      <w:r>
        <w:rPr>
          <w:sz w:val="24"/>
          <w:szCs w:val="24"/>
          <w:lang w:val="en-US"/>
        </w:rPr>
        <w:t xml:space="preserve">To translate the principles into actions </w:t>
      </w:r>
      <w:r>
        <w:rPr>
          <w:b w:val="false"/>
          <w:sz w:val="24"/>
          <w:szCs w:val="24"/>
          <w:lang w:val="en-US"/>
        </w:rPr>
        <w:t xml:space="preserve">while conducting the business activities, the Company </w:t>
      </w:r>
      <w:r>
        <w:rPr>
          <w:sz w:val="24"/>
          <w:szCs w:val="24"/>
          <w:lang w:val="en-US"/>
        </w:rPr>
        <w:t>accepts the following commitments</w:t>
      </w:r>
      <w:r>
        <w:rPr>
          <w:b w:val="false"/>
          <w:sz w:val="24"/>
          <w:szCs w:val="24"/>
          <w:lang w:val="en-US"/>
        </w:rPr>
        <w:t>:</w:t>
      </w:r>
    </w:p>
    <w:p>
      <w:pPr>
        <w:pStyle w:val="05"/>
        <w:numPr>
          <w:ilvl w:val="0"/>
          <w:numId w:val="2"/>
        </w:numPr>
        <w:tabs>
          <w:tab w:val="clear" w:pos="1134"/>
          <w:tab w:val="left" w:pos="426" w:leader="none"/>
          <w:tab w:val="left" w:pos="700" w:leader="none"/>
        </w:tabs>
        <w:spacing w:before="60" w:after="192"/>
        <w:ind w:left="426" w:right="-1" w:hanging="426"/>
        <w:rPr>
          <w:lang w:val="en-US"/>
        </w:rPr>
      </w:pPr>
      <w:r>
        <w:rPr>
          <w:lang w:val="en-US"/>
        </w:rPr>
        <w:t>Conduct the basic and auxiliary production processes in accordance with the requirements of environmental law being guided by the standards of international law and the best practices of other companies;</w:t>
      </w:r>
    </w:p>
    <w:p>
      <w:pPr>
        <w:pStyle w:val="05"/>
        <w:numPr>
          <w:ilvl w:val="0"/>
          <w:numId w:val="2"/>
        </w:numPr>
        <w:tabs>
          <w:tab w:val="clear" w:pos="1134"/>
          <w:tab w:val="left" w:pos="426" w:leader="none"/>
          <w:tab w:val="left" w:pos="700" w:leader="none"/>
        </w:tabs>
        <w:spacing w:before="60" w:after="192"/>
        <w:ind w:left="426" w:right="-1" w:hanging="426"/>
        <w:rPr>
          <w:lang w:val="en-US"/>
        </w:rPr>
      </w:pPr>
      <w:r>
        <w:rPr>
          <w:lang w:val="en-US"/>
        </w:rPr>
        <w:t>While reducing the negative impact on the environment, take measures to conserve the biodiversity and compensate for the damage to the environment;</w:t>
      </w:r>
    </w:p>
    <w:p>
      <w:pPr>
        <w:pStyle w:val="05"/>
        <w:numPr>
          <w:ilvl w:val="0"/>
          <w:numId w:val="2"/>
        </w:numPr>
        <w:tabs>
          <w:tab w:val="clear" w:pos="1134"/>
          <w:tab w:val="left" w:pos="426" w:leader="none"/>
          <w:tab w:val="left" w:pos="700" w:leader="none"/>
        </w:tabs>
        <w:spacing w:before="60" w:after="192"/>
        <w:ind w:left="426" w:right="-1" w:hanging="426"/>
        <w:rPr>
          <w:lang w:val="en-US"/>
        </w:rPr>
      </w:pPr>
      <w:r>
        <w:rPr>
          <w:lang w:val="en-US"/>
        </w:rPr>
        <w:t>Efficiently and rationally use natural resources entrusted to the Company taking into account the governing principles of environmental protection;</w:t>
      </w:r>
    </w:p>
    <w:p>
      <w:pPr>
        <w:pStyle w:val="05"/>
        <w:numPr>
          <w:ilvl w:val="0"/>
          <w:numId w:val="2"/>
        </w:numPr>
        <w:tabs>
          <w:tab w:val="clear" w:pos="1134"/>
          <w:tab w:val="left" w:pos="426" w:leader="none"/>
          <w:tab w:val="left" w:pos="700" w:leader="none"/>
        </w:tabs>
        <w:spacing w:before="60" w:after="192"/>
        <w:ind w:left="426" w:right="-1" w:hanging="426"/>
        <w:rPr>
          <w:lang w:val="en-US"/>
        </w:rPr>
      </w:pPr>
      <w:r>
        <w:rPr>
          <w:lang w:val="en-US"/>
        </w:rPr>
        <w:t>Take efforts to ensure energy and resource saving at all stages of the production process;</w:t>
      </w:r>
    </w:p>
    <w:p>
      <w:pPr>
        <w:pStyle w:val="05"/>
        <w:numPr>
          <w:ilvl w:val="0"/>
          <w:numId w:val="2"/>
        </w:numPr>
        <w:tabs>
          <w:tab w:val="clear" w:pos="1134"/>
          <w:tab w:val="left" w:pos="426" w:leader="none"/>
          <w:tab w:val="left" w:pos="700" w:leader="none"/>
        </w:tabs>
        <w:spacing w:before="60" w:after="192"/>
        <w:ind w:left="426" w:right="-1" w:hanging="426"/>
        <w:rPr>
          <w:lang w:val="en-US"/>
        </w:rPr>
      </w:pPr>
      <w:r>
        <w:rPr>
          <w:lang w:val="en-US"/>
        </w:rPr>
        <w:t>Improve the environmental management system of the Company;</w:t>
      </w:r>
    </w:p>
    <w:p>
      <w:pPr>
        <w:pStyle w:val="05"/>
        <w:numPr>
          <w:ilvl w:val="0"/>
          <w:numId w:val="2"/>
        </w:numPr>
        <w:tabs>
          <w:tab w:val="clear" w:pos="1134"/>
          <w:tab w:val="left" w:pos="426" w:leader="none"/>
          <w:tab w:val="left" w:pos="700" w:leader="none"/>
        </w:tabs>
        <w:spacing w:before="60" w:after="192"/>
        <w:ind w:left="426" w:right="-1" w:hanging="426"/>
        <w:rPr>
          <w:lang w:val="en-US"/>
        </w:rPr>
      </w:pPr>
      <w:r>
        <w:rPr>
          <w:lang w:val="en-US"/>
        </w:rPr>
        <w:t>Make management and investment decisions taking into account the ecological priorities, economic and social aspects;</w:t>
      </w:r>
    </w:p>
    <w:p>
      <w:pPr>
        <w:pStyle w:val="05"/>
        <w:numPr>
          <w:ilvl w:val="0"/>
          <w:numId w:val="2"/>
        </w:numPr>
        <w:tabs>
          <w:tab w:val="clear" w:pos="1134"/>
          <w:tab w:val="left" w:pos="426" w:leader="none"/>
          <w:tab w:val="left" w:pos="700" w:leader="none"/>
        </w:tabs>
        <w:spacing w:before="60" w:after="192"/>
        <w:ind w:left="426" w:right="-1" w:hanging="426"/>
        <w:rPr>
          <w:lang w:val="en-US"/>
        </w:rPr>
      </w:pPr>
      <w:r>
        <w:rPr>
          <w:lang w:val="en-US"/>
        </w:rPr>
        <w:t>Factor industrial and ecological safety in the production activities;</w:t>
      </w:r>
    </w:p>
    <w:p>
      <w:pPr>
        <w:pStyle w:val="05"/>
        <w:numPr>
          <w:ilvl w:val="0"/>
          <w:numId w:val="2"/>
        </w:numPr>
        <w:tabs>
          <w:tab w:val="clear" w:pos="1134"/>
          <w:tab w:val="left" w:pos="426" w:leader="none"/>
          <w:tab w:val="left" w:pos="700" w:leader="none"/>
        </w:tabs>
        <w:spacing w:before="60" w:after="192"/>
        <w:ind w:left="426" w:right="-1" w:hanging="426"/>
        <w:rPr>
          <w:lang w:val="en-US"/>
        </w:rPr>
      </w:pPr>
      <w:r>
        <w:rPr>
          <w:lang w:val="en-US"/>
        </w:rPr>
        <w:t xml:space="preserve">Prioritize implementation of the best available technologies and preventive actions to make the production environmentally safe (upon technical and economic feasibility study); </w:t>
      </w:r>
    </w:p>
    <w:p>
      <w:pPr>
        <w:pStyle w:val="05"/>
        <w:numPr>
          <w:ilvl w:val="0"/>
          <w:numId w:val="2"/>
        </w:numPr>
        <w:tabs>
          <w:tab w:val="clear" w:pos="1134"/>
          <w:tab w:val="left" w:pos="426" w:leader="none"/>
          <w:tab w:val="left" w:pos="700" w:leader="none"/>
        </w:tabs>
        <w:spacing w:before="60" w:after="192"/>
        <w:ind w:left="426" w:right="-1" w:hanging="426"/>
        <w:rPr>
          <w:lang w:val="en-US"/>
        </w:rPr>
      </w:pPr>
      <w:r>
        <w:rPr>
          <w:lang w:val="en-US"/>
        </w:rPr>
        <w:t>Minimize and, whenever possible, prevent the negative impact on the health and safety of local communities in the course of production activities;</w:t>
      </w:r>
    </w:p>
    <w:p>
      <w:pPr>
        <w:pStyle w:val="05"/>
        <w:numPr>
          <w:ilvl w:val="0"/>
          <w:numId w:val="2"/>
        </w:numPr>
        <w:tabs>
          <w:tab w:val="clear" w:pos="1134"/>
          <w:tab w:val="left" w:pos="426" w:leader="none"/>
          <w:tab w:val="left" w:pos="700" w:leader="none"/>
        </w:tabs>
        <w:spacing w:before="60" w:after="192"/>
        <w:ind w:left="426" w:right="-1" w:hanging="426"/>
        <w:rPr>
          <w:lang w:val="en-US"/>
        </w:rPr>
      </w:pPr>
      <w:r>
        <w:rPr>
          <w:lang w:val="en-US"/>
        </w:rPr>
        <w:t>Plan production quantities in the regions of operations of the Company taking into consideration the local environmental specifics;</w:t>
      </w:r>
    </w:p>
    <w:p>
      <w:pPr>
        <w:pStyle w:val="05"/>
        <w:numPr>
          <w:ilvl w:val="0"/>
          <w:numId w:val="2"/>
        </w:numPr>
        <w:tabs>
          <w:tab w:val="clear" w:pos="1134"/>
          <w:tab w:val="left" w:pos="426" w:leader="none"/>
          <w:tab w:val="left" w:pos="700" w:leader="none"/>
        </w:tabs>
        <w:spacing w:before="60" w:after="192"/>
        <w:ind w:left="426" w:right="-1" w:hanging="426"/>
        <w:rPr>
          <w:lang w:val="en-US"/>
        </w:rPr>
      </w:pPr>
      <w:r>
        <w:rPr>
          <w:lang w:val="en-US"/>
        </w:rPr>
        <w:t>Respect the rights of the indigenous minorities to maintain their traditional lifestyle and  livelihoods  and preserve the primordial living environment; mitigate and, whenever possible, prevent the negative impact on the cultural heritage in the course of production activities;</w:t>
      </w:r>
    </w:p>
    <w:p>
      <w:pPr>
        <w:pStyle w:val="05"/>
        <w:numPr>
          <w:ilvl w:val="0"/>
          <w:numId w:val="2"/>
        </w:numPr>
        <w:tabs>
          <w:tab w:val="clear" w:pos="1134"/>
          <w:tab w:val="left" w:pos="426" w:leader="none"/>
          <w:tab w:val="left" w:pos="700" w:leader="none"/>
        </w:tabs>
        <w:spacing w:before="60" w:after="192"/>
        <w:ind w:left="426" w:right="-1" w:hanging="426"/>
        <w:rPr>
          <w:lang w:val="en-US"/>
        </w:rPr>
      </w:pPr>
      <w:r>
        <w:rPr>
          <w:lang w:val="en-US"/>
        </w:rPr>
        <w:t>Ensure environmental training of the employees of the Company;</w:t>
      </w:r>
    </w:p>
    <w:p>
      <w:pPr>
        <w:pStyle w:val="05"/>
        <w:numPr>
          <w:ilvl w:val="0"/>
          <w:numId w:val="2"/>
        </w:numPr>
        <w:tabs>
          <w:tab w:val="clear" w:pos="1134"/>
          <w:tab w:val="left" w:pos="426" w:leader="none"/>
          <w:tab w:val="left" w:pos="700" w:leader="none"/>
        </w:tabs>
        <w:spacing w:before="60" w:after="192"/>
        <w:ind w:left="426" w:right="-1" w:hanging="426"/>
        <w:rPr>
          <w:lang w:val="en-US"/>
        </w:rPr>
      </w:pPr>
      <w:r>
        <w:rPr>
          <w:lang w:val="en-US"/>
        </w:rPr>
        <w:t>Raise awareness of the employees, general public and interested parties of the environmental protection activities of the Company.</w:t>
      </w:r>
    </w:p>
    <w:p>
      <w:pPr>
        <w:pStyle w:val="02"/>
        <w:tabs>
          <w:tab w:val="clear" w:pos="700"/>
        </w:tabs>
        <w:ind w:hanging="0"/>
        <w:rPr>
          <w:sz w:val="24"/>
          <w:szCs w:val="24"/>
          <w:lang w:val="en-US"/>
        </w:rPr>
      </w:pPr>
      <w:r>
        <w:rPr>
          <w:sz w:val="24"/>
          <w:szCs w:val="24"/>
          <w:lang w:val="en-US"/>
        </w:rPr>
        <w:t>Mechanisms of implementation of the Environmental Policy</w:t>
      </w:r>
    </w:p>
    <w:p>
      <w:pPr>
        <w:pStyle w:val="Normal"/>
        <w:spacing w:before="0" w:after="120"/>
        <w:ind w:right="-1" w:firstLine="340"/>
        <w:rPr>
          <w:color w:val="000000"/>
          <w:lang w:val="en-US"/>
        </w:rPr>
      </w:pPr>
      <w:r>
        <w:rPr>
          <w:color w:val="000000"/>
          <w:lang w:val="en-US"/>
        </w:rPr>
        <w:t>Means of addressing the environmental tasks are:</w:t>
      </w:r>
    </w:p>
    <w:p>
      <w:pPr>
        <w:pStyle w:val="Normal"/>
        <w:numPr>
          <w:ilvl w:val="0"/>
          <w:numId w:val="3"/>
        </w:numPr>
        <w:tabs>
          <w:tab w:val="clear" w:pos="709"/>
          <w:tab w:val="left" w:pos="284" w:leader="none"/>
          <w:tab w:val="left" w:pos="9355" w:leader="none"/>
        </w:tabs>
        <w:spacing w:before="0" w:after="192"/>
        <w:ind w:left="284" w:right="-1" w:hanging="284"/>
        <w:rPr>
          <w:color w:val="000000"/>
          <w:lang w:val="en-US"/>
        </w:rPr>
      </w:pPr>
      <w:r>
        <w:rPr>
          <w:color w:val="000000"/>
          <w:lang w:val="en-US"/>
        </w:rPr>
        <w:t>development of the action programs aimed at implementation of the Environmental Policy and environmental risks mitigation;</w:t>
      </w:r>
    </w:p>
    <w:p>
      <w:pPr>
        <w:pStyle w:val="Normal"/>
        <w:numPr>
          <w:ilvl w:val="0"/>
          <w:numId w:val="3"/>
        </w:numPr>
        <w:tabs>
          <w:tab w:val="clear" w:pos="709"/>
          <w:tab w:val="left" w:pos="284" w:leader="none"/>
          <w:tab w:val="left" w:pos="9355" w:leader="none"/>
        </w:tabs>
        <w:spacing w:before="0" w:after="192"/>
        <w:ind w:left="284" w:right="-1" w:hanging="284"/>
        <w:rPr>
          <w:color w:val="000000"/>
          <w:lang w:val="en-US"/>
        </w:rPr>
      </w:pPr>
      <w:r>
        <w:rPr>
          <w:color w:val="000000"/>
          <w:lang w:val="en-US"/>
        </w:rPr>
        <w:t>implementation of the Environmental Policy of the Company using the best available technologies and ecological safety management practices;</w:t>
      </w:r>
    </w:p>
    <w:p>
      <w:pPr>
        <w:pStyle w:val="Normal"/>
        <w:numPr>
          <w:ilvl w:val="0"/>
          <w:numId w:val="3"/>
        </w:numPr>
        <w:tabs>
          <w:tab w:val="clear" w:pos="709"/>
          <w:tab w:val="left" w:pos="284" w:leader="none"/>
          <w:tab w:val="left" w:pos="9355" w:leader="none"/>
        </w:tabs>
        <w:spacing w:before="0" w:after="192"/>
        <w:ind w:left="284" w:right="-1" w:hanging="284"/>
        <w:rPr>
          <w:color w:val="000000"/>
          <w:lang w:val="en-US"/>
        </w:rPr>
      </w:pPr>
      <w:r>
        <w:rPr>
          <w:color w:val="000000"/>
          <w:lang w:val="en-US"/>
        </w:rPr>
        <w:t>use of the greenhouse gas emission reduction technologies being guided by the best international practices;</w:t>
      </w:r>
    </w:p>
    <w:p>
      <w:pPr>
        <w:pStyle w:val="Normal"/>
        <w:numPr>
          <w:ilvl w:val="0"/>
          <w:numId w:val="3"/>
        </w:numPr>
        <w:tabs>
          <w:tab w:val="clear" w:pos="709"/>
          <w:tab w:val="left" w:pos="284" w:leader="none"/>
          <w:tab w:val="left" w:pos="9355" w:leader="none"/>
        </w:tabs>
        <w:spacing w:before="0" w:after="192"/>
        <w:ind w:left="284" w:right="-1" w:hanging="284"/>
        <w:rPr>
          <w:color w:val="000000"/>
          <w:lang w:val="en-US"/>
        </w:rPr>
      </w:pPr>
      <w:r>
        <w:rPr>
          <w:color w:val="000000"/>
          <w:lang w:val="en-US"/>
        </w:rPr>
        <w:t>participation in the global initiatives and programs aimed at preservation of the environment and biodiversity;</w:t>
      </w:r>
    </w:p>
    <w:p>
      <w:pPr>
        <w:pStyle w:val="Normal"/>
        <w:numPr>
          <w:ilvl w:val="0"/>
          <w:numId w:val="3"/>
        </w:numPr>
        <w:tabs>
          <w:tab w:val="clear" w:pos="709"/>
          <w:tab w:val="left" w:pos="284" w:leader="none"/>
          <w:tab w:val="left" w:pos="9355" w:leader="none"/>
        </w:tabs>
        <w:spacing w:before="0" w:after="192"/>
        <w:ind w:left="284" w:right="-1" w:hanging="284"/>
        <w:rPr>
          <w:color w:val="000000"/>
          <w:lang w:val="en-US"/>
        </w:rPr>
      </w:pPr>
      <w:r>
        <w:rPr>
          <w:color w:val="000000"/>
          <w:lang w:val="en-US"/>
        </w:rPr>
        <w:t>land reclamation, while taking other technical and organizational measures to compensate for the damage to the environment;</w:t>
      </w:r>
    </w:p>
    <w:p>
      <w:pPr>
        <w:pStyle w:val="Normal"/>
        <w:numPr>
          <w:ilvl w:val="0"/>
          <w:numId w:val="3"/>
        </w:numPr>
        <w:tabs>
          <w:tab w:val="clear" w:pos="709"/>
          <w:tab w:val="left" w:pos="284" w:leader="none"/>
          <w:tab w:val="left" w:pos="9355" w:leader="none"/>
        </w:tabs>
        <w:spacing w:before="0" w:after="192"/>
        <w:ind w:left="284" w:right="-1" w:hanging="284"/>
        <w:rPr>
          <w:color w:val="000000"/>
          <w:lang w:val="en-US"/>
        </w:rPr>
      </w:pPr>
      <w:r>
        <w:rPr>
          <w:color w:val="000000"/>
          <w:lang w:val="en-US"/>
        </w:rPr>
        <w:t>ensuring of the endogenous fire safety in mining operations, in coal storage sites, and in places of disposal and accumulation of production and consumption wastes;</w:t>
      </w:r>
    </w:p>
    <w:p>
      <w:pPr>
        <w:pStyle w:val="Normal"/>
        <w:numPr>
          <w:ilvl w:val="0"/>
          <w:numId w:val="3"/>
        </w:numPr>
        <w:tabs>
          <w:tab w:val="clear" w:pos="709"/>
          <w:tab w:val="left" w:pos="284" w:leader="none"/>
          <w:tab w:val="left" w:pos="9355" w:leader="none"/>
        </w:tabs>
        <w:spacing w:before="0" w:after="192"/>
        <w:ind w:left="284" w:right="-1" w:hanging="284"/>
        <w:rPr>
          <w:color w:val="000000"/>
          <w:lang w:val="en-US"/>
        </w:rPr>
      </w:pPr>
      <w:r>
        <w:rPr>
          <w:color w:val="000000"/>
          <w:lang w:val="en-US"/>
        </w:rPr>
        <w:t>development of coal processing and beneficiation technologies with the aim to produce high-quality fuels of improved environmental performance;</w:t>
      </w:r>
    </w:p>
    <w:p>
      <w:pPr>
        <w:pStyle w:val="Normal"/>
        <w:numPr>
          <w:ilvl w:val="0"/>
          <w:numId w:val="3"/>
        </w:numPr>
        <w:tabs>
          <w:tab w:val="clear" w:pos="709"/>
          <w:tab w:val="left" w:pos="284" w:leader="none"/>
          <w:tab w:val="left" w:pos="9355" w:leader="none"/>
        </w:tabs>
        <w:spacing w:before="0" w:after="192"/>
        <w:ind w:left="284" w:right="-1" w:hanging="284"/>
        <w:rPr>
          <w:color w:val="000000"/>
          <w:lang w:val="en-US"/>
        </w:rPr>
      </w:pPr>
      <w:r>
        <w:rPr>
          <w:color w:val="000000"/>
          <w:lang w:val="en-US"/>
        </w:rPr>
        <w:t>implementation and maintenance of an effective environmental management system based on the requirements of international standard ISO 14001;</w:t>
      </w:r>
    </w:p>
    <w:p>
      <w:pPr>
        <w:pStyle w:val="Normal"/>
        <w:numPr>
          <w:ilvl w:val="0"/>
          <w:numId w:val="3"/>
        </w:numPr>
        <w:tabs>
          <w:tab w:val="clear" w:pos="709"/>
          <w:tab w:val="left" w:pos="284" w:leader="none"/>
          <w:tab w:val="left" w:pos="9355" w:leader="none"/>
        </w:tabs>
        <w:spacing w:before="0" w:after="192"/>
        <w:ind w:left="284" w:right="-1" w:hanging="284"/>
        <w:rPr>
          <w:color w:val="000000"/>
          <w:lang w:val="en-US"/>
        </w:rPr>
      </w:pPr>
      <w:r>
        <w:rPr>
          <w:color w:val="000000"/>
          <w:lang w:val="en-US"/>
        </w:rPr>
        <w:t>improvement of environmental education of the employees;</w:t>
      </w:r>
    </w:p>
    <w:p>
      <w:pPr>
        <w:pStyle w:val="Normal"/>
        <w:numPr>
          <w:ilvl w:val="0"/>
          <w:numId w:val="3"/>
        </w:numPr>
        <w:tabs>
          <w:tab w:val="clear" w:pos="709"/>
          <w:tab w:val="left" w:pos="284" w:leader="none"/>
          <w:tab w:val="left" w:pos="9355" w:leader="none"/>
        </w:tabs>
        <w:spacing w:before="0" w:after="192"/>
        <w:ind w:left="284" w:right="-1" w:hanging="284"/>
        <w:rPr>
          <w:color w:val="000000"/>
          <w:lang w:val="en-US"/>
        </w:rPr>
      </w:pPr>
      <w:r>
        <w:rPr>
          <w:color w:val="000000"/>
          <w:lang w:val="en-US"/>
        </w:rPr>
        <w:t>relevant and timely emergency response.</w:t>
      </w:r>
    </w:p>
    <w:p>
      <w:pPr>
        <w:pStyle w:val="Normal"/>
        <w:jc w:val="left"/>
        <w:rPr>
          <w:b/>
          <w:b/>
          <w:color w:val="000000"/>
          <w:lang w:val="en-US"/>
        </w:rPr>
      </w:pPr>
      <w:r>
        <w:rPr>
          <w:b/>
          <w:color w:val="000000"/>
          <w:lang w:val="en-US"/>
        </w:rPr>
      </w:r>
      <w:r>
        <w:br w:type="page"/>
      </w:r>
    </w:p>
    <w:p>
      <w:pPr>
        <w:pStyle w:val="Normal"/>
        <w:spacing w:before="0" w:after="120"/>
        <w:ind w:right="-1" w:firstLine="340"/>
        <w:rPr>
          <w:b/>
          <w:b/>
          <w:color w:val="000000"/>
          <w:lang w:val="en-US"/>
        </w:rPr>
      </w:pPr>
      <w:r>
        <w:rPr>
          <w:b/>
          <w:color w:val="000000"/>
          <w:lang w:val="en-US"/>
        </w:rPr>
        <w:t>Management of the Company commits to implementation of the Environmental Policy and shall:</w:t>
      </w:r>
    </w:p>
    <w:p>
      <w:pPr>
        <w:pStyle w:val="Normal"/>
        <w:numPr>
          <w:ilvl w:val="0"/>
          <w:numId w:val="4"/>
        </w:numPr>
        <w:spacing w:before="0" w:after="120"/>
        <w:ind w:left="426" w:right="-1" w:hanging="360"/>
        <w:rPr>
          <w:b/>
          <w:b/>
          <w:color w:val="000000"/>
          <w:lang w:val="en-US"/>
        </w:rPr>
      </w:pPr>
      <w:r>
        <w:rPr>
          <w:b/>
          <w:color w:val="000000"/>
          <w:lang w:val="en-US"/>
        </w:rPr>
        <w:t xml:space="preserve"> </w:t>
      </w:r>
      <w:r>
        <w:rPr>
          <w:b/>
          <w:color w:val="000000"/>
          <w:lang w:val="en-US"/>
        </w:rPr>
        <w:t>create conditions that facilitate and encourage the informed involvement of our employees into the activities in environmental risks mitigation, improvement of the environmental management system and environmental performance;</w:t>
      </w:r>
    </w:p>
    <w:p>
      <w:pPr>
        <w:pStyle w:val="Normal"/>
        <w:numPr>
          <w:ilvl w:val="0"/>
          <w:numId w:val="4"/>
        </w:numPr>
        <w:spacing w:before="0" w:after="120"/>
        <w:ind w:left="426" w:right="-1" w:hanging="360"/>
        <w:rPr>
          <w:b/>
          <w:b/>
          <w:color w:val="000000"/>
          <w:lang w:val="en-US"/>
        </w:rPr>
      </w:pPr>
      <w:r>
        <w:rPr>
          <w:b/>
          <w:color w:val="000000"/>
          <w:lang w:val="en-US"/>
        </w:rPr>
        <w:t>allocate the relevant financial, technical, human and other resources for this purpose  ensuring efficient use of these resources;</w:t>
      </w:r>
    </w:p>
    <w:p>
      <w:pPr>
        <w:pStyle w:val="Normal"/>
        <w:numPr>
          <w:ilvl w:val="0"/>
          <w:numId w:val="4"/>
        </w:numPr>
        <w:spacing w:before="0" w:after="120"/>
        <w:ind w:left="426" w:right="-1" w:hanging="360"/>
        <w:rPr>
          <w:b/>
          <w:b/>
          <w:color w:val="000000"/>
          <w:lang w:val="en-US"/>
        </w:rPr>
      </w:pPr>
      <w:r>
        <w:rPr>
          <w:b/>
          <w:color w:val="000000"/>
          <w:lang w:val="en-US"/>
        </w:rPr>
        <w:t>disseminate the voluntary environmental reporting, follow the policy of environmental information transparency and involvement of the general public and local government institutions into discussion, approval and implementation of environment protection solutions.</w:t>
      </w:r>
    </w:p>
    <w:p>
      <w:pPr>
        <w:pStyle w:val="Normal"/>
        <w:ind w:left="5672" w:firstLine="340"/>
        <w:rPr>
          <w:b/>
          <w:b/>
          <w:bCs/>
          <w:lang w:val="en-US"/>
        </w:rPr>
      </w:pPr>
      <w:r>
        <w:rPr>
          <w:b/>
          <w:bCs/>
          <w:lang w:val="en-US"/>
        </w:rPr>
      </w:r>
    </w:p>
    <w:p>
      <w:pPr>
        <w:pStyle w:val="Normal"/>
        <w:ind w:left="5672" w:firstLine="340"/>
        <w:rPr>
          <w:b/>
          <w:b/>
          <w:bCs/>
          <w:lang w:val="en-US"/>
        </w:rPr>
      </w:pPr>
      <w:r>
        <w:rPr>
          <w:b/>
          <w:bCs/>
          <w:lang w:val="en-US"/>
        </w:rPr>
      </w:r>
    </w:p>
    <w:p>
      <w:pPr>
        <w:pStyle w:val="Normal"/>
        <w:ind w:left="5672" w:firstLine="340"/>
        <w:rPr>
          <w:b/>
          <w:b/>
          <w:bCs/>
          <w:lang w:val="en-US"/>
        </w:rPr>
      </w:pPr>
      <w:r>
        <w:rPr>
          <w:b/>
          <w:bCs/>
          <w:lang w:val="en-US"/>
        </w:rPr>
      </w:r>
    </w:p>
    <w:p>
      <w:pPr>
        <w:pStyle w:val="Normal"/>
        <w:ind w:left="5672" w:firstLine="340"/>
        <w:rPr>
          <w:b/>
          <w:b/>
          <w:bCs/>
          <w:lang w:val="en-US"/>
        </w:rPr>
      </w:pPr>
      <w:r>
        <w:rPr>
          <w:b/>
          <w:bCs/>
          <w:lang w:val="en-US"/>
        </w:rPr>
      </w:r>
    </w:p>
    <w:p>
      <w:pPr>
        <w:pStyle w:val="Normal"/>
        <w:ind w:left="5672" w:firstLine="340"/>
        <w:rPr>
          <w:b/>
          <w:b/>
          <w:bCs/>
          <w:lang w:val="en-US"/>
        </w:rPr>
      </w:pPr>
      <w:r>
        <w:rPr>
          <w:b/>
          <w:bCs/>
          <w:lang w:val="en-US"/>
        </w:rPr>
      </w:r>
    </w:p>
    <w:p>
      <w:pPr>
        <w:pStyle w:val="Normal"/>
        <w:ind w:left="6096" w:firstLine="340"/>
        <w:rPr>
          <w:color w:val="000000"/>
          <w:lang w:val="en-US"/>
        </w:rPr>
      </w:pPr>
      <w:r>
        <w:rPr>
          <w:b/>
          <w:bCs/>
          <w:lang w:val="en-US"/>
        </w:rPr>
        <w:t xml:space="preserve">General Director </w:t>
      </w:r>
    </w:p>
    <w:p>
      <w:pPr>
        <w:sectPr>
          <w:headerReference w:type="default" r:id="rId4"/>
          <w:headerReference w:type="first" r:id="rId5"/>
          <w:footerReference w:type="default" r:id="rId6"/>
          <w:footerReference w:type="first" r:id="rId7"/>
          <w:type w:val="nextPage"/>
          <w:pgSz w:w="11906" w:h="16838"/>
          <w:pgMar w:left="1134" w:right="1134" w:header="421" w:top="1270" w:footer="709" w:bottom="964" w:gutter="0"/>
          <w:pgNumType w:fmt="decimal"/>
          <w:formProt w:val="false"/>
          <w:titlePg/>
          <w:textDirection w:val="lrTb"/>
          <w:docGrid w:type="default" w:linePitch="360" w:charSpace="0"/>
        </w:sectPr>
        <w:pStyle w:val="S25"/>
        <w:ind w:left="6096" w:hanging="0"/>
        <w:jc w:val="left"/>
        <w:rPr>
          <w:sz w:val="20"/>
          <w:lang w:val="en-US"/>
        </w:rPr>
      </w:pPr>
      <w:r>
        <w:rPr>
          <w:szCs w:val="24"/>
          <w:lang w:val="en-US"/>
        </w:rPr>
        <w:t>Vladimir Rashevsky</w:t>
      </w:r>
    </w:p>
    <w:p>
      <w:pPr>
        <w:pStyle w:val="S25"/>
        <w:rPr>
          <w:lang w:val="en-US"/>
        </w:rPr>
      </w:pPr>
      <w:r>
        <w:rPr>
          <w:lang w:val="en-US"/>
        </w:rPr>
        <w:t>Annex 1 (mandatory)</w:t>
      </w:r>
    </w:p>
    <w:p>
      <w:pPr>
        <w:pStyle w:val="S26"/>
        <w:rPr>
          <w:lang w:val="en-US"/>
        </w:rPr>
      </w:pPr>
      <w:r>
        <w:rPr>
          <w:lang w:val="en-US"/>
        </w:rPr>
        <w:t>Amendment Identification Sheet</w:t>
      </w:r>
    </w:p>
    <w:p>
      <w:pPr>
        <w:pStyle w:val="Normal"/>
        <w:spacing w:lineRule="exact" w:line="240"/>
        <w:jc w:val="center"/>
        <w:rPr>
          <w:lang w:val="en-US"/>
        </w:rPr>
      </w:pPr>
      <w:r>
        <w:rPr>
          <w:lang w:val="en-US"/>
        </w:rPr>
        <w:t>Amendments to the version in force (approved version)</w:t>
      </w:r>
    </w:p>
    <w:p>
      <w:pPr>
        <w:pStyle w:val="Normal"/>
        <w:spacing w:lineRule="exact" w:line="240"/>
        <w:jc w:val="center"/>
        <w:rPr>
          <w:lang w:val="en-US"/>
        </w:rPr>
      </w:pPr>
      <w:r>
        <w:rPr>
          <w:lang w:val="en-US"/>
        </w:rPr>
        <w:t>As compared to the previous (revoked) version</w:t>
      </w:r>
      <w:bookmarkStart w:id="13" w:name="OLE_LINK19"/>
      <w:bookmarkStart w:id="14" w:name="OLE_LINK18"/>
      <w:bookmarkEnd w:id="13"/>
      <w:bookmarkEnd w:id="14"/>
    </w:p>
    <w:tbl>
      <w:tblPr>
        <w:tblW w:w="9603" w:type="dxa"/>
        <w:jc w:val="left"/>
        <w:tblInd w:w="0" w:type="dxa"/>
        <w:tblLayout w:type="fixed"/>
        <w:tblCellMar>
          <w:top w:w="0" w:type="dxa"/>
          <w:left w:w="108" w:type="dxa"/>
          <w:bottom w:w="0" w:type="dxa"/>
          <w:right w:w="108" w:type="dxa"/>
        </w:tblCellMar>
        <w:tblLook w:val="0000"/>
      </w:tblPr>
      <w:tblGrid>
        <w:gridCol w:w="675"/>
        <w:gridCol w:w="1242"/>
        <w:gridCol w:w="1259"/>
        <w:gridCol w:w="3166"/>
        <w:gridCol w:w="3261"/>
      </w:tblGrid>
      <w:tr>
        <w:trPr>
          <w:cantSplit w:val="true"/>
        </w:trPr>
        <w:tc>
          <w:tcPr>
            <w:tcW w:w="675" w:type="dxa"/>
            <w:vMerge w:val="restart"/>
            <w:tcBorders>
              <w:top w:val="double" w:sz="4" w:space="0" w:color="000000"/>
              <w:left w:val="double" w:sz="4" w:space="0" w:color="000000"/>
              <w:bottom w:val="double" w:sz="4" w:space="0" w:color="000000"/>
              <w:right w:val="single" w:sz="4" w:space="0" w:color="000000"/>
            </w:tcBorders>
            <w:vAlign w:val="center"/>
          </w:tcPr>
          <w:p>
            <w:pPr>
              <w:pStyle w:val="S111"/>
              <w:widowControl w:val="false"/>
              <w:spacing w:before="0" w:after="0"/>
              <w:jc w:val="center"/>
              <w:rPr>
                <w:lang w:val="en-US"/>
              </w:rPr>
            </w:pPr>
            <w:r>
              <w:rPr>
                <w:lang w:val="en-US"/>
              </w:rPr>
              <w:t>No.</w:t>
            </w:r>
          </w:p>
        </w:tc>
        <w:tc>
          <w:tcPr>
            <w:tcW w:w="1242" w:type="dxa"/>
            <w:vMerge w:val="restart"/>
            <w:tcBorders>
              <w:top w:val="double" w:sz="4" w:space="0" w:color="000000"/>
              <w:left w:val="single" w:sz="4" w:space="0" w:color="000000"/>
              <w:bottom w:val="double" w:sz="4" w:space="0" w:color="000000"/>
              <w:right w:val="single" w:sz="4" w:space="0" w:color="000000"/>
            </w:tcBorders>
            <w:vAlign w:val="center"/>
          </w:tcPr>
          <w:p>
            <w:pPr>
              <w:pStyle w:val="S111"/>
              <w:widowControl w:val="false"/>
              <w:spacing w:before="0" w:after="0"/>
              <w:jc w:val="center"/>
              <w:rPr>
                <w:lang w:val="en-US"/>
              </w:rPr>
            </w:pPr>
            <w:r>
              <w:rPr>
                <w:lang w:val="en-US"/>
              </w:rPr>
              <w:t>Section</w:t>
            </w:r>
          </w:p>
        </w:tc>
        <w:tc>
          <w:tcPr>
            <w:tcW w:w="1259" w:type="dxa"/>
            <w:vMerge w:val="restart"/>
            <w:tcBorders>
              <w:top w:val="double" w:sz="4" w:space="0" w:color="000000"/>
              <w:left w:val="single" w:sz="4" w:space="0" w:color="000000"/>
              <w:bottom w:val="double" w:sz="4" w:space="0" w:color="000000"/>
              <w:right w:val="single" w:sz="4" w:space="0" w:color="000000"/>
            </w:tcBorders>
          </w:tcPr>
          <w:p>
            <w:pPr>
              <w:pStyle w:val="S111"/>
              <w:widowControl w:val="false"/>
              <w:spacing w:before="0" w:after="0"/>
              <w:jc w:val="center"/>
              <w:rPr>
                <w:lang w:val="en-US"/>
              </w:rPr>
            </w:pPr>
            <w:r>
              <w:rPr>
                <w:lang w:val="en-US"/>
              </w:rPr>
              <w:t xml:space="preserve">Date of amendment </w:t>
            </w:r>
          </w:p>
        </w:tc>
        <w:tc>
          <w:tcPr>
            <w:tcW w:w="6427" w:type="dxa"/>
            <w:gridSpan w:val="2"/>
            <w:tcBorders>
              <w:top w:val="double" w:sz="4" w:space="0" w:color="000000"/>
              <w:left w:val="single" w:sz="4" w:space="0" w:color="000000"/>
              <w:bottom w:val="single" w:sz="4" w:space="0" w:color="000000"/>
              <w:right w:val="double" w:sz="4" w:space="0" w:color="000000"/>
            </w:tcBorders>
            <w:vAlign w:val="center"/>
          </w:tcPr>
          <w:p>
            <w:pPr>
              <w:pStyle w:val="S111"/>
              <w:widowControl w:val="false"/>
              <w:spacing w:before="0" w:after="0"/>
              <w:jc w:val="center"/>
              <w:rPr>
                <w:lang w:val="en-US"/>
              </w:rPr>
            </w:pPr>
            <w:r>
              <w:rPr>
                <w:lang w:val="en-US"/>
              </w:rPr>
              <w:t xml:space="preserve">Amendment identification </w:t>
            </w:r>
          </w:p>
        </w:tc>
      </w:tr>
      <w:tr>
        <w:trPr>
          <w:cantSplit w:val="true"/>
        </w:trPr>
        <w:tc>
          <w:tcPr>
            <w:tcW w:w="675" w:type="dxa"/>
            <w:vMerge w:val="continue"/>
            <w:tcBorders>
              <w:top w:val="single" w:sz="4" w:space="0" w:color="000000"/>
              <w:left w:val="double" w:sz="4" w:space="0" w:color="000000"/>
              <w:bottom w:val="double" w:sz="4" w:space="0" w:color="000000"/>
              <w:right w:val="single" w:sz="4" w:space="0" w:color="000000"/>
            </w:tcBorders>
            <w:vAlign w:val="center"/>
          </w:tcPr>
          <w:p>
            <w:pPr>
              <w:pStyle w:val="S111"/>
              <w:widowControl w:val="false"/>
              <w:spacing w:before="0" w:after="0"/>
              <w:jc w:val="center"/>
              <w:rPr>
                <w:lang w:val="en-US"/>
              </w:rPr>
            </w:pPr>
            <w:r>
              <w:rPr/>
            </w:r>
          </w:p>
        </w:tc>
        <w:tc>
          <w:tcPr>
            <w:tcW w:w="1242" w:type="dxa"/>
            <w:vMerge w:val="continue"/>
            <w:tcBorders>
              <w:top w:val="single" w:sz="4" w:space="0" w:color="000000"/>
              <w:left w:val="single" w:sz="4" w:space="0" w:color="000000"/>
              <w:bottom w:val="double" w:sz="4" w:space="0" w:color="000000"/>
              <w:right w:val="single" w:sz="4" w:space="0" w:color="000000"/>
            </w:tcBorders>
            <w:vAlign w:val="center"/>
          </w:tcPr>
          <w:p>
            <w:pPr>
              <w:pStyle w:val="S111"/>
              <w:widowControl w:val="false"/>
              <w:spacing w:before="0" w:after="0"/>
              <w:jc w:val="center"/>
              <w:rPr>
                <w:lang w:val="en-US"/>
              </w:rPr>
            </w:pPr>
            <w:r>
              <w:rPr/>
            </w:r>
          </w:p>
        </w:tc>
        <w:tc>
          <w:tcPr>
            <w:tcW w:w="1259" w:type="dxa"/>
            <w:vMerge w:val="continue"/>
            <w:tcBorders>
              <w:left w:val="single" w:sz="4" w:space="0" w:color="000000"/>
              <w:bottom w:val="double" w:sz="4" w:space="0" w:color="000000"/>
              <w:right w:val="single" w:sz="4" w:space="0" w:color="000000"/>
            </w:tcBorders>
          </w:tcPr>
          <w:p>
            <w:pPr>
              <w:pStyle w:val="S111"/>
              <w:widowControl w:val="false"/>
              <w:spacing w:before="0" w:after="0"/>
              <w:jc w:val="center"/>
              <w:rPr>
                <w:lang w:val="en-US"/>
              </w:rPr>
            </w:pPr>
            <w:r>
              <w:rPr/>
            </w:r>
          </w:p>
        </w:tc>
        <w:tc>
          <w:tcPr>
            <w:tcW w:w="3166" w:type="dxa"/>
            <w:tcBorders>
              <w:top w:val="single" w:sz="4" w:space="0" w:color="000000"/>
              <w:left w:val="single" w:sz="4" w:space="0" w:color="000000"/>
              <w:bottom w:val="double" w:sz="4" w:space="0" w:color="000000"/>
              <w:right w:val="single" w:sz="4" w:space="0" w:color="000000"/>
            </w:tcBorders>
            <w:vAlign w:val="center"/>
          </w:tcPr>
          <w:p>
            <w:pPr>
              <w:pStyle w:val="S111"/>
              <w:widowControl w:val="false"/>
              <w:spacing w:before="0" w:after="0"/>
              <w:jc w:val="center"/>
              <w:rPr>
                <w:lang w:val="en-US"/>
              </w:rPr>
            </w:pPr>
            <w:r>
              <w:rPr>
                <w:lang w:val="en-US"/>
              </w:rPr>
              <w:t>Previous version</w:t>
            </w:r>
          </w:p>
        </w:tc>
        <w:tc>
          <w:tcPr>
            <w:tcW w:w="3261" w:type="dxa"/>
            <w:tcBorders>
              <w:top w:val="single" w:sz="4" w:space="0" w:color="000000"/>
              <w:left w:val="single" w:sz="4" w:space="0" w:color="000000"/>
              <w:bottom w:val="double" w:sz="4" w:space="0" w:color="000000"/>
              <w:right w:val="double" w:sz="4" w:space="0" w:color="000000"/>
            </w:tcBorders>
            <w:vAlign w:val="center"/>
          </w:tcPr>
          <w:p>
            <w:pPr>
              <w:pStyle w:val="S111"/>
              <w:widowControl w:val="false"/>
              <w:spacing w:before="0" w:after="0"/>
              <w:jc w:val="center"/>
              <w:rPr>
                <w:lang w:val="en-US"/>
              </w:rPr>
            </w:pPr>
            <w:r>
              <w:rPr>
                <w:lang w:val="en-US"/>
              </w:rPr>
              <w:t>New version</w:t>
            </w:r>
          </w:p>
        </w:tc>
      </w:tr>
      <w:tr>
        <w:trPr/>
        <w:tc>
          <w:tcPr>
            <w:tcW w:w="675" w:type="dxa"/>
            <w:tcBorders>
              <w:top w:val="double" w:sz="4" w:space="0" w:color="000000"/>
              <w:left w:val="double" w:sz="4" w:space="0" w:color="000000"/>
              <w:bottom w:val="single" w:sz="4" w:space="0" w:color="000000"/>
              <w:right w:val="single" w:sz="4" w:space="0" w:color="000000"/>
            </w:tcBorders>
          </w:tcPr>
          <w:p>
            <w:pPr>
              <w:pStyle w:val="S1311"/>
              <w:widowControl w:val="false"/>
              <w:numPr>
                <w:ilvl w:val="0"/>
                <w:numId w:val="0"/>
              </w:numPr>
              <w:spacing w:before="0" w:after="0"/>
              <w:ind w:left="0" w:hanging="0"/>
              <w:rPr>
                <w:lang w:val="en-US"/>
              </w:rPr>
            </w:pPr>
            <w:r>
              <w:rPr/>
              <w:t>1</w:t>
            </w:r>
          </w:p>
        </w:tc>
        <w:tc>
          <w:tcPr>
            <w:tcW w:w="1242" w:type="dxa"/>
            <w:tcBorders>
              <w:top w:val="double" w:sz="4" w:space="0" w:color="000000"/>
              <w:left w:val="single" w:sz="4" w:space="0" w:color="000000"/>
              <w:bottom w:val="single" w:sz="4" w:space="0" w:color="000000"/>
              <w:right w:val="single" w:sz="4" w:space="0" w:color="000000"/>
            </w:tcBorders>
          </w:tcPr>
          <w:p>
            <w:pPr>
              <w:pStyle w:val="S1311"/>
              <w:widowControl w:val="false"/>
              <w:numPr>
                <w:ilvl w:val="0"/>
                <w:numId w:val="0"/>
              </w:numPr>
              <w:spacing w:before="0" w:after="0"/>
              <w:ind w:left="0" w:hanging="0"/>
              <w:rPr>
                <w:lang w:val="en-US"/>
              </w:rPr>
            </w:pPr>
            <w:r>
              <w:rPr>
                <w:lang w:val="en-US"/>
              </w:rPr>
              <w:t>Entire document</w:t>
            </w:r>
          </w:p>
        </w:tc>
        <w:tc>
          <w:tcPr>
            <w:tcW w:w="1259" w:type="dxa"/>
            <w:tcBorders>
              <w:top w:val="double" w:sz="4" w:space="0" w:color="000000"/>
              <w:left w:val="single" w:sz="4" w:space="0" w:color="000000"/>
              <w:bottom w:val="single" w:sz="4" w:space="0" w:color="000000"/>
              <w:right w:val="single" w:sz="4" w:space="0" w:color="000000"/>
            </w:tcBorders>
          </w:tcPr>
          <w:p>
            <w:pPr>
              <w:pStyle w:val="S1311"/>
              <w:widowControl w:val="false"/>
              <w:spacing w:before="0" w:after="0"/>
              <w:rPr>
                <w:lang w:val="en-US"/>
              </w:rPr>
            </w:pPr>
            <w:r>
              <w:rPr/>
              <w:t>22.11.2010</w:t>
            </w:r>
          </w:p>
        </w:tc>
        <w:tc>
          <w:tcPr>
            <w:tcW w:w="3166" w:type="dxa"/>
            <w:tcBorders>
              <w:top w:val="double" w:sz="4" w:space="0" w:color="000000"/>
              <w:left w:val="single" w:sz="4" w:space="0" w:color="000000"/>
              <w:bottom w:val="single" w:sz="4" w:space="0" w:color="000000"/>
              <w:right w:val="single" w:sz="4" w:space="0" w:color="000000"/>
            </w:tcBorders>
            <w:vAlign w:val="center"/>
          </w:tcPr>
          <w:p>
            <w:pPr>
              <w:pStyle w:val="S1311"/>
              <w:widowControl w:val="false"/>
              <w:numPr>
                <w:ilvl w:val="0"/>
                <w:numId w:val="0"/>
              </w:numPr>
              <w:spacing w:before="0" w:after="0"/>
              <w:ind w:left="0" w:hanging="0"/>
              <w:jc w:val="center"/>
              <w:rPr>
                <w:lang w:val="en-US"/>
              </w:rPr>
            </w:pPr>
            <w:r>
              <w:rPr/>
              <w:t>-</w:t>
            </w:r>
          </w:p>
        </w:tc>
        <w:tc>
          <w:tcPr>
            <w:tcW w:w="3261" w:type="dxa"/>
            <w:tcBorders>
              <w:top w:val="double" w:sz="4" w:space="0" w:color="000000"/>
              <w:left w:val="single" w:sz="4" w:space="0" w:color="000000"/>
              <w:bottom w:val="single" w:sz="4" w:space="0" w:color="000000"/>
              <w:right w:val="double" w:sz="4" w:space="0" w:color="000000"/>
            </w:tcBorders>
            <w:vAlign w:val="center"/>
          </w:tcPr>
          <w:p>
            <w:pPr>
              <w:pStyle w:val="S1311"/>
              <w:widowControl w:val="false"/>
              <w:numPr>
                <w:ilvl w:val="0"/>
                <w:numId w:val="0"/>
              </w:numPr>
              <w:spacing w:before="0" w:after="0"/>
              <w:ind w:left="0" w:hanging="0"/>
              <w:jc w:val="center"/>
              <w:rPr>
                <w:lang w:val="en-US"/>
              </w:rPr>
            </w:pPr>
            <w:r>
              <w:rPr>
                <w:lang w:val="en-US"/>
              </w:rPr>
              <w:t>All the sections re-written</w:t>
            </w:r>
          </w:p>
        </w:tc>
      </w:tr>
      <w:tr>
        <w:trPr/>
        <w:tc>
          <w:tcPr>
            <w:tcW w:w="675" w:type="dxa"/>
            <w:tcBorders>
              <w:top w:val="single" w:sz="4" w:space="0" w:color="000000"/>
              <w:left w:val="double" w:sz="4" w:space="0" w:color="000000"/>
              <w:bottom w:val="single" w:sz="4" w:space="0" w:color="000000"/>
              <w:right w:val="single" w:sz="4" w:space="0" w:color="000000"/>
            </w:tcBorders>
          </w:tcPr>
          <w:p>
            <w:pPr>
              <w:pStyle w:val="S1311"/>
              <w:widowControl w:val="false"/>
              <w:numPr>
                <w:ilvl w:val="0"/>
                <w:numId w:val="0"/>
              </w:numPr>
              <w:spacing w:before="0" w:after="0"/>
              <w:ind w:left="0" w:hanging="0"/>
              <w:rPr>
                <w:lang w:val="en-US"/>
              </w:rPr>
            </w:pPr>
            <w:r>
              <w:rPr/>
              <w:t>2</w:t>
            </w:r>
          </w:p>
        </w:tc>
        <w:tc>
          <w:tcPr>
            <w:tcW w:w="1242" w:type="dxa"/>
            <w:tcBorders>
              <w:top w:val="single" w:sz="4" w:space="0" w:color="000000"/>
              <w:left w:val="single" w:sz="4" w:space="0" w:color="000000"/>
              <w:bottom w:val="single" w:sz="4" w:space="0" w:color="000000"/>
              <w:right w:val="single" w:sz="4" w:space="0" w:color="000000"/>
            </w:tcBorders>
          </w:tcPr>
          <w:p>
            <w:pPr>
              <w:pStyle w:val="S1311"/>
              <w:widowControl w:val="false"/>
              <w:numPr>
                <w:ilvl w:val="0"/>
                <w:numId w:val="0"/>
              </w:numPr>
              <w:spacing w:before="0" w:after="0"/>
              <w:ind w:left="0" w:hanging="0"/>
              <w:rPr>
                <w:lang w:val="en-US"/>
              </w:rPr>
            </w:pPr>
            <w:r>
              <w:rPr/>
            </w:r>
          </w:p>
        </w:tc>
        <w:tc>
          <w:tcPr>
            <w:tcW w:w="1259" w:type="dxa"/>
            <w:tcBorders>
              <w:top w:val="single" w:sz="4" w:space="0" w:color="000000"/>
              <w:left w:val="single" w:sz="4" w:space="0" w:color="000000"/>
              <w:bottom w:val="single" w:sz="4" w:space="0" w:color="000000"/>
              <w:right w:val="single" w:sz="4" w:space="0" w:color="000000"/>
            </w:tcBorders>
          </w:tcPr>
          <w:p>
            <w:pPr>
              <w:pStyle w:val="S1311"/>
              <w:widowControl w:val="false"/>
              <w:numPr>
                <w:ilvl w:val="0"/>
                <w:numId w:val="0"/>
              </w:numPr>
              <w:spacing w:before="0" w:after="0"/>
              <w:ind w:left="0" w:hanging="0"/>
              <w:rPr>
                <w:lang w:val="en-US"/>
              </w:rPr>
            </w:pPr>
            <w:r>
              <w:rPr/>
            </w:r>
          </w:p>
        </w:tc>
        <w:tc>
          <w:tcPr>
            <w:tcW w:w="3166" w:type="dxa"/>
            <w:tcBorders>
              <w:top w:val="single" w:sz="4" w:space="0" w:color="000000"/>
              <w:left w:val="single" w:sz="4" w:space="0" w:color="000000"/>
              <w:bottom w:val="single" w:sz="4" w:space="0" w:color="000000"/>
              <w:right w:val="single" w:sz="4" w:space="0" w:color="000000"/>
            </w:tcBorders>
          </w:tcPr>
          <w:p>
            <w:pPr>
              <w:pStyle w:val="S1311"/>
              <w:widowControl w:val="false"/>
              <w:numPr>
                <w:ilvl w:val="0"/>
                <w:numId w:val="0"/>
              </w:numPr>
              <w:spacing w:before="0" w:after="0"/>
              <w:ind w:left="0" w:hanging="0"/>
              <w:rPr>
                <w:lang w:val="en-US"/>
              </w:rPr>
            </w:pPr>
            <w:r>
              <w:rPr/>
            </w:r>
          </w:p>
        </w:tc>
        <w:tc>
          <w:tcPr>
            <w:tcW w:w="3261" w:type="dxa"/>
            <w:tcBorders>
              <w:top w:val="single" w:sz="4" w:space="0" w:color="000000"/>
              <w:left w:val="single" w:sz="4" w:space="0" w:color="000000"/>
              <w:bottom w:val="single" w:sz="4" w:space="0" w:color="000000"/>
              <w:right w:val="double" w:sz="4" w:space="0" w:color="000000"/>
            </w:tcBorders>
          </w:tcPr>
          <w:p>
            <w:pPr>
              <w:pStyle w:val="S1311"/>
              <w:widowControl w:val="false"/>
              <w:numPr>
                <w:ilvl w:val="0"/>
                <w:numId w:val="0"/>
              </w:numPr>
              <w:spacing w:before="0" w:after="0"/>
              <w:ind w:left="0" w:hanging="0"/>
              <w:rPr>
                <w:lang w:val="en-US"/>
              </w:rPr>
            </w:pPr>
            <w:r>
              <w:rPr/>
            </w:r>
          </w:p>
        </w:tc>
      </w:tr>
      <w:tr>
        <w:trPr/>
        <w:tc>
          <w:tcPr>
            <w:tcW w:w="675" w:type="dxa"/>
            <w:tcBorders>
              <w:top w:val="single" w:sz="4" w:space="0" w:color="000000"/>
              <w:left w:val="double" w:sz="4" w:space="0" w:color="000000"/>
              <w:bottom w:val="single" w:sz="4" w:space="0" w:color="000000"/>
              <w:right w:val="single" w:sz="4" w:space="0" w:color="000000"/>
            </w:tcBorders>
          </w:tcPr>
          <w:p>
            <w:pPr>
              <w:pStyle w:val="S1311"/>
              <w:widowControl w:val="false"/>
              <w:numPr>
                <w:ilvl w:val="0"/>
                <w:numId w:val="0"/>
              </w:numPr>
              <w:spacing w:before="0" w:after="0"/>
              <w:ind w:left="0" w:hanging="0"/>
              <w:rPr>
                <w:lang w:val="en-US"/>
              </w:rPr>
            </w:pPr>
            <w:r>
              <w:rPr/>
              <w:t>3</w:t>
            </w:r>
          </w:p>
        </w:tc>
        <w:tc>
          <w:tcPr>
            <w:tcW w:w="1242" w:type="dxa"/>
            <w:tcBorders>
              <w:top w:val="single" w:sz="4" w:space="0" w:color="000000"/>
              <w:left w:val="single" w:sz="4" w:space="0" w:color="000000"/>
              <w:bottom w:val="single" w:sz="4" w:space="0" w:color="000000"/>
              <w:right w:val="single" w:sz="4" w:space="0" w:color="000000"/>
            </w:tcBorders>
          </w:tcPr>
          <w:p>
            <w:pPr>
              <w:pStyle w:val="S1311"/>
              <w:widowControl w:val="false"/>
              <w:numPr>
                <w:ilvl w:val="0"/>
                <w:numId w:val="0"/>
              </w:numPr>
              <w:spacing w:before="0" w:after="0"/>
              <w:ind w:left="0" w:hanging="0"/>
              <w:rPr>
                <w:lang w:val="en-US"/>
              </w:rPr>
            </w:pPr>
            <w:r>
              <w:rPr/>
            </w:r>
          </w:p>
        </w:tc>
        <w:tc>
          <w:tcPr>
            <w:tcW w:w="1259" w:type="dxa"/>
            <w:tcBorders>
              <w:top w:val="single" w:sz="4" w:space="0" w:color="000000"/>
              <w:left w:val="single" w:sz="4" w:space="0" w:color="000000"/>
              <w:bottom w:val="single" w:sz="4" w:space="0" w:color="000000"/>
              <w:right w:val="single" w:sz="4" w:space="0" w:color="000000"/>
            </w:tcBorders>
          </w:tcPr>
          <w:p>
            <w:pPr>
              <w:pStyle w:val="S1311"/>
              <w:widowControl w:val="false"/>
              <w:numPr>
                <w:ilvl w:val="0"/>
                <w:numId w:val="0"/>
              </w:numPr>
              <w:spacing w:before="0" w:after="0"/>
              <w:ind w:left="0" w:hanging="0"/>
              <w:rPr>
                <w:lang w:val="en-US"/>
              </w:rPr>
            </w:pPr>
            <w:r>
              <w:rPr/>
            </w:r>
          </w:p>
        </w:tc>
        <w:tc>
          <w:tcPr>
            <w:tcW w:w="3166" w:type="dxa"/>
            <w:tcBorders>
              <w:top w:val="single" w:sz="4" w:space="0" w:color="000000"/>
              <w:left w:val="single" w:sz="4" w:space="0" w:color="000000"/>
              <w:bottom w:val="single" w:sz="4" w:space="0" w:color="000000"/>
              <w:right w:val="single" w:sz="4" w:space="0" w:color="000000"/>
            </w:tcBorders>
          </w:tcPr>
          <w:p>
            <w:pPr>
              <w:pStyle w:val="S1311"/>
              <w:widowControl w:val="false"/>
              <w:numPr>
                <w:ilvl w:val="0"/>
                <w:numId w:val="0"/>
              </w:numPr>
              <w:spacing w:before="0" w:after="0"/>
              <w:ind w:left="0" w:hanging="0"/>
              <w:rPr>
                <w:lang w:val="en-US"/>
              </w:rPr>
            </w:pPr>
            <w:r>
              <w:rPr/>
            </w:r>
          </w:p>
        </w:tc>
        <w:tc>
          <w:tcPr>
            <w:tcW w:w="3261" w:type="dxa"/>
            <w:tcBorders>
              <w:top w:val="single" w:sz="4" w:space="0" w:color="000000"/>
              <w:left w:val="single" w:sz="4" w:space="0" w:color="000000"/>
              <w:bottom w:val="single" w:sz="4" w:space="0" w:color="000000"/>
              <w:right w:val="double" w:sz="4" w:space="0" w:color="000000"/>
            </w:tcBorders>
          </w:tcPr>
          <w:p>
            <w:pPr>
              <w:pStyle w:val="S1311"/>
              <w:widowControl w:val="false"/>
              <w:numPr>
                <w:ilvl w:val="0"/>
                <w:numId w:val="0"/>
              </w:numPr>
              <w:spacing w:before="0" w:after="0"/>
              <w:ind w:left="0" w:hanging="0"/>
              <w:rPr>
                <w:lang w:val="en-US"/>
              </w:rPr>
            </w:pPr>
            <w:r>
              <w:rPr/>
            </w:r>
          </w:p>
        </w:tc>
      </w:tr>
      <w:tr>
        <w:trPr/>
        <w:tc>
          <w:tcPr>
            <w:tcW w:w="675" w:type="dxa"/>
            <w:tcBorders>
              <w:top w:val="single" w:sz="4" w:space="0" w:color="000000"/>
              <w:left w:val="double" w:sz="4" w:space="0" w:color="000000"/>
              <w:bottom w:val="single" w:sz="4" w:space="0" w:color="000000"/>
              <w:right w:val="single" w:sz="4" w:space="0" w:color="000000"/>
            </w:tcBorders>
          </w:tcPr>
          <w:p>
            <w:pPr>
              <w:pStyle w:val="S1311"/>
              <w:widowControl w:val="false"/>
              <w:numPr>
                <w:ilvl w:val="0"/>
                <w:numId w:val="0"/>
              </w:numPr>
              <w:spacing w:before="0" w:after="0"/>
              <w:ind w:left="0" w:hanging="0"/>
              <w:rPr>
                <w:lang w:val="en-US"/>
              </w:rPr>
            </w:pPr>
            <w:r>
              <w:rPr/>
              <w:t>4</w:t>
            </w:r>
          </w:p>
        </w:tc>
        <w:tc>
          <w:tcPr>
            <w:tcW w:w="1242" w:type="dxa"/>
            <w:tcBorders>
              <w:top w:val="single" w:sz="4" w:space="0" w:color="000000"/>
              <w:left w:val="single" w:sz="4" w:space="0" w:color="000000"/>
              <w:bottom w:val="single" w:sz="4" w:space="0" w:color="000000"/>
              <w:right w:val="single" w:sz="4" w:space="0" w:color="000000"/>
            </w:tcBorders>
          </w:tcPr>
          <w:p>
            <w:pPr>
              <w:pStyle w:val="S1311"/>
              <w:widowControl w:val="false"/>
              <w:numPr>
                <w:ilvl w:val="0"/>
                <w:numId w:val="0"/>
              </w:numPr>
              <w:spacing w:before="0" w:after="0"/>
              <w:ind w:left="0" w:hanging="0"/>
              <w:rPr>
                <w:lang w:val="en-US"/>
              </w:rPr>
            </w:pPr>
            <w:r>
              <w:rPr/>
            </w:r>
          </w:p>
        </w:tc>
        <w:tc>
          <w:tcPr>
            <w:tcW w:w="1259" w:type="dxa"/>
            <w:tcBorders>
              <w:top w:val="single" w:sz="4" w:space="0" w:color="000000"/>
              <w:left w:val="single" w:sz="4" w:space="0" w:color="000000"/>
              <w:bottom w:val="single" w:sz="4" w:space="0" w:color="000000"/>
              <w:right w:val="single" w:sz="4" w:space="0" w:color="000000"/>
            </w:tcBorders>
          </w:tcPr>
          <w:p>
            <w:pPr>
              <w:pStyle w:val="S1311"/>
              <w:widowControl w:val="false"/>
              <w:numPr>
                <w:ilvl w:val="0"/>
                <w:numId w:val="0"/>
              </w:numPr>
              <w:spacing w:before="0" w:after="0"/>
              <w:ind w:left="0" w:hanging="0"/>
              <w:rPr>
                <w:lang w:val="en-US"/>
              </w:rPr>
            </w:pPr>
            <w:r>
              <w:rPr/>
            </w:r>
          </w:p>
        </w:tc>
        <w:tc>
          <w:tcPr>
            <w:tcW w:w="3166" w:type="dxa"/>
            <w:tcBorders>
              <w:top w:val="single" w:sz="4" w:space="0" w:color="000000"/>
              <w:left w:val="single" w:sz="4" w:space="0" w:color="000000"/>
              <w:bottom w:val="single" w:sz="4" w:space="0" w:color="000000"/>
              <w:right w:val="single" w:sz="4" w:space="0" w:color="000000"/>
            </w:tcBorders>
          </w:tcPr>
          <w:p>
            <w:pPr>
              <w:pStyle w:val="S1311"/>
              <w:widowControl w:val="false"/>
              <w:numPr>
                <w:ilvl w:val="0"/>
                <w:numId w:val="0"/>
              </w:numPr>
              <w:spacing w:before="0" w:after="0"/>
              <w:ind w:left="0" w:hanging="0"/>
              <w:rPr>
                <w:lang w:val="en-US"/>
              </w:rPr>
            </w:pPr>
            <w:r>
              <w:rPr/>
            </w:r>
          </w:p>
        </w:tc>
        <w:tc>
          <w:tcPr>
            <w:tcW w:w="3261" w:type="dxa"/>
            <w:tcBorders>
              <w:top w:val="single" w:sz="4" w:space="0" w:color="000000"/>
              <w:left w:val="single" w:sz="4" w:space="0" w:color="000000"/>
              <w:bottom w:val="single" w:sz="4" w:space="0" w:color="000000"/>
              <w:right w:val="double" w:sz="4" w:space="0" w:color="000000"/>
            </w:tcBorders>
          </w:tcPr>
          <w:p>
            <w:pPr>
              <w:pStyle w:val="S1311"/>
              <w:widowControl w:val="false"/>
              <w:numPr>
                <w:ilvl w:val="0"/>
                <w:numId w:val="0"/>
              </w:numPr>
              <w:spacing w:before="0" w:after="0"/>
              <w:ind w:left="0" w:hanging="0"/>
              <w:rPr>
                <w:lang w:val="en-US"/>
              </w:rPr>
            </w:pPr>
            <w:r>
              <w:rPr/>
            </w:r>
          </w:p>
        </w:tc>
      </w:tr>
      <w:tr>
        <w:trPr/>
        <w:tc>
          <w:tcPr>
            <w:tcW w:w="675" w:type="dxa"/>
            <w:tcBorders>
              <w:top w:val="single" w:sz="4" w:space="0" w:color="000000"/>
              <w:left w:val="double" w:sz="4" w:space="0" w:color="000000"/>
              <w:bottom w:val="double" w:sz="4" w:space="0" w:color="000000"/>
              <w:right w:val="single" w:sz="4" w:space="0" w:color="000000"/>
            </w:tcBorders>
          </w:tcPr>
          <w:p>
            <w:pPr>
              <w:pStyle w:val="S1311"/>
              <w:widowControl w:val="false"/>
              <w:numPr>
                <w:ilvl w:val="0"/>
                <w:numId w:val="0"/>
              </w:numPr>
              <w:spacing w:before="0" w:after="0"/>
              <w:ind w:left="0" w:hanging="0"/>
              <w:rPr>
                <w:lang w:val="en-US"/>
              </w:rPr>
            </w:pPr>
            <w:r>
              <w:rPr/>
              <w:t>5</w:t>
            </w:r>
          </w:p>
        </w:tc>
        <w:tc>
          <w:tcPr>
            <w:tcW w:w="1242" w:type="dxa"/>
            <w:tcBorders>
              <w:top w:val="single" w:sz="4" w:space="0" w:color="000000"/>
              <w:left w:val="single" w:sz="4" w:space="0" w:color="000000"/>
              <w:bottom w:val="double" w:sz="4" w:space="0" w:color="000000"/>
              <w:right w:val="single" w:sz="4" w:space="0" w:color="000000"/>
            </w:tcBorders>
          </w:tcPr>
          <w:p>
            <w:pPr>
              <w:pStyle w:val="S1311"/>
              <w:widowControl w:val="false"/>
              <w:numPr>
                <w:ilvl w:val="0"/>
                <w:numId w:val="0"/>
              </w:numPr>
              <w:spacing w:before="0" w:after="0"/>
              <w:ind w:left="0" w:hanging="0"/>
              <w:rPr>
                <w:lang w:val="en-US"/>
              </w:rPr>
            </w:pPr>
            <w:r>
              <w:rPr/>
            </w:r>
          </w:p>
        </w:tc>
        <w:tc>
          <w:tcPr>
            <w:tcW w:w="1259" w:type="dxa"/>
            <w:tcBorders>
              <w:top w:val="single" w:sz="4" w:space="0" w:color="000000"/>
              <w:left w:val="single" w:sz="4" w:space="0" w:color="000000"/>
              <w:bottom w:val="double" w:sz="4" w:space="0" w:color="000000"/>
              <w:right w:val="single" w:sz="4" w:space="0" w:color="000000"/>
            </w:tcBorders>
          </w:tcPr>
          <w:p>
            <w:pPr>
              <w:pStyle w:val="S1311"/>
              <w:widowControl w:val="false"/>
              <w:numPr>
                <w:ilvl w:val="0"/>
                <w:numId w:val="0"/>
              </w:numPr>
              <w:spacing w:before="0" w:after="0"/>
              <w:ind w:left="0" w:hanging="0"/>
              <w:rPr>
                <w:lang w:val="en-US"/>
              </w:rPr>
            </w:pPr>
            <w:r>
              <w:rPr/>
            </w:r>
          </w:p>
        </w:tc>
        <w:tc>
          <w:tcPr>
            <w:tcW w:w="3166" w:type="dxa"/>
            <w:tcBorders>
              <w:top w:val="single" w:sz="4" w:space="0" w:color="000000"/>
              <w:left w:val="single" w:sz="4" w:space="0" w:color="000000"/>
              <w:bottom w:val="double" w:sz="4" w:space="0" w:color="000000"/>
              <w:right w:val="single" w:sz="4" w:space="0" w:color="000000"/>
            </w:tcBorders>
          </w:tcPr>
          <w:p>
            <w:pPr>
              <w:pStyle w:val="S1311"/>
              <w:widowControl w:val="false"/>
              <w:numPr>
                <w:ilvl w:val="0"/>
                <w:numId w:val="0"/>
              </w:numPr>
              <w:spacing w:before="0" w:after="0"/>
              <w:ind w:left="0" w:hanging="0"/>
              <w:rPr>
                <w:lang w:val="en-US"/>
              </w:rPr>
            </w:pPr>
            <w:r>
              <w:rPr/>
            </w:r>
          </w:p>
        </w:tc>
        <w:tc>
          <w:tcPr>
            <w:tcW w:w="3261" w:type="dxa"/>
            <w:tcBorders>
              <w:top w:val="single" w:sz="4" w:space="0" w:color="000000"/>
              <w:left w:val="single" w:sz="4" w:space="0" w:color="000000"/>
              <w:bottom w:val="double" w:sz="4" w:space="0" w:color="000000"/>
              <w:right w:val="double" w:sz="4" w:space="0" w:color="000000"/>
            </w:tcBorders>
          </w:tcPr>
          <w:p>
            <w:pPr>
              <w:pStyle w:val="S1311"/>
              <w:widowControl w:val="false"/>
              <w:numPr>
                <w:ilvl w:val="0"/>
                <w:numId w:val="0"/>
              </w:numPr>
              <w:spacing w:before="0" w:after="0"/>
              <w:ind w:left="0" w:hanging="0"/>
              <w:rPr>
                <w:lang w:val="en-US"/>
              </w:rPr>
            </w:pPr>
            <w:r>
              <w:rPr/>
            </w:r>
          </w:p>
        </w:tc>
      </w:tr>
    </w:tbl>
    <w:p>
      <w:pPr>
        <w:pStyle w:val="S001"/>
        <w:rPr>
          <w:lang w:val="en-US"/>
        </w:rPr>
      </w:pPr>
      <w:r>
        <w:rPr/>
      </w:r>
    </w:p>
    <w:sectPr>
      <w:headerReference w:type="default" r:id="rId8"/>
      <w:headerReference w:type="first" r:id="rId9"/>
      <w:footerReference w:type="default" r:id="rId10"/>
      <w:footerReference w:type="first" r:id="rId11"/>
      <w:type w:val="nextPage"/>
      <w:pgSz w:w="11906" w:h="16838"/>
      <w:pgMar w:left="1134" w:right="1134" w:header="709" w:top="964" w:footer="709" w:bottom="964"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Tahoma">
    <w:charset w:val="00"/>
    <w:family w:val="roman"/>
    <w:pitch w:val="variable"/>
  </w:font>
  <w:font w:name="Verdana">
    <w:charset w:val="00"/>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Voettekst"/>
      <w:tabs>
        <w:tab w:val="clear" w:pos="4677"/>
        <w:tab w:val="clear" w:pos="9355"/>
        <w:tab w:val="right" w:pos="9361" w:leader="none"/>
      </w:tabs>
      <w:rPr>
        <w:sz w:val="20"/>
        <w:szCs w:val="20"/>
        <w:lang w:val="en-US"/>
      </w:rPr>
    </w:pPr>
    <w:r>
      <w:rPr>
        <w:sz w:val="20"/>
        <w:szCs w:val="20"/>
        <w:lang w:val="en-US"/>
      </w:rPr>
      <w:t>Present Policy is kept electronically. The managed version is stored in the Information System of Normative Documents.</w:t>
    </w:r>
  </w:p>
  <w:p>
    <w:pPr>
      <w:pStyle w:val="Voettekst"/>
      <w:tabs>
        <w:tab w:val="clear" w:pos="4677"/>
        <w:tab w:val="right" w:pos="9355" w:leader="none"/>
      </w:tabs>
      <w:rPr>
        <w:lang w:val="en-US"/>
      </w:rPr>
    </w:pPr>
    <w:r>
      <w:rPr>
        <w:sz w:val="20"/>
        <w:szCs w:val="20"/>
        <w:lang w:val="en-US"/>
      </w:rPr>
      <w:t xml:space="preserve">Date of printing: </w:t>
    </w:r>
    <w:r>
      <w:rPr>
        <w:sz w:val="20"/>
        <w:szCs w:val="20"/>
      </w:rPr>
      <w:fldChar w:fldCharType="begin"/>
    </w:r>
    <w:r>
      <w:rPr>
        <w:sz w:val="20"/>
        <w:szCs w:val="20"/>
      </w:rPr>
      <w:instrText> DATE \@"d.MM.yy" </w:instrText>
    </w:r>
    <w:r>
      <w:rPr>
        <w:sz w:val="20"/>
        <w:szCs w:val="20"/>
      </w:rPr>
      <w:fldChar w:fldCharType="separate"/>
    </w:r>
    <w:r>
      <w:rPr>
        <w:sz w:val="20"/>
        <w:szCs w:val="20"/>
      </w:rPr>
      <w:t>16.9.21</w:t>
    </w:r>
    <w:r>
      <w:rPr>
        <w:sz w:val="20"/>
        <w:szCs w:val="20"/>
      </w:rPr>
      <w:fldChar w:fldCharType="end"/>
    </w:r>
    <w:r>
      <w:rPr>
        <w:sz w:val="20"/>
        <w:szCs w:val="20"/>
        <w:lang w:val="en-US"/>
      </w:rPr>
      <w:t xml:space="preserve">. Responsibility for relevance of the printed version is vested in the user.  </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Voettekst"/>
      <w:jc w:val="right"/>
      <w:rPr>
        <w:lang w:val="en-US"/>
      </w:rPr>
    </w:pPr>
    <w:r>
      <w:rPr/>
      <w:fldChar w:fldCharType="begin"/>
    </w:r>
    <w:r>
      <w:rPr/>
      <w:instrText> PAGE </w:instrText>
    </w:r>
    <w:r>
      <w:rPr/>
      <w:fldChar w:fldCharType="separate"/>
    </w:r>
    <w:r>
      <w:rPr/>
      <w:t>4</w:t>
    </w:r>
    <w:r>
      <w:rPr/>
      <w:fldChar w:fldCharType="end"/>
    </w:r>
  </w:p>
  <w:p>
    <w:pPr>
      <w:pStyle w:val="Voettekst"/>
      <w:tabs>
        <w:tab w:val="clear" w:pos="4677"/>
        <w:tab w:val="clear" w:pos="9355"/>
        <w:tab w:val="right" w:pos="9361" w:leader="none"/>
      </w:tabs>
      <w:rPr>
        <w:sz w:val="20"/>
        <w:szCs w:val="20"/>
        <w:lang w:val="en-US"/>
      </w:rPr>
    </w:pPr>
    <w:r>
      <w:rPr>
        <w:sz w:val="20"/>
        <w:szCs w:val="20"/>
        <w:lang w:val="en-US"/>
      </w:rPr>
      <w:t>Present Policy is kept electronically. The managed version is stored in the Information System of Normative Documents.</w:t>
    </w:r>
  </w:p>
  <w:p>
    <w:pPr>
      <w:pStyle w:val="Voettekst"/>
      <w:tabs>
        <w:tab w:val="clear" w:pos="4677"/>
        <w:tab w:val="right" w:pos="9355" w:leader="none"/>
      </w:tabs>
      <w:rPr>
        <w:lang w:val="en-US"/>
      </w:rPr>
    </w:pPr>
    <w:r>
      <w:rPr>
        <w:sz w:val="20"/>
        <w:szCs w:val="20"/>
        <w:lang w:val="en-US"/>
      </w:rPr>
      <w:t xml:space="preserve">Date of printing: </w:t>
    </w:r>
    <w:r>
      <w:rPr>
        <w:sz w:val="20"/>
        <w:szCs w:val="20"/>
      </w:rPr>
      <w:fldChar w:fldCharType="begin"/>
    </w:r>
    <w:r>
      <w:rPr>
        <w:sz w:val="20"/>
        <w:szCs w:val="20"/>
      </w:rPr>
      <w:instrText> DATE \@"d.MM.yy" </w:instrText>
    </w:r>
    <w:r>
      <w:rPr>
        <w:sz w:val="20"/>
        <w:szCs w:val="20"/>
      </w:rPr>
      <w:fldChar w:fldCharType="separate"/>
    </w:r>
    <w:r>
      <w:rPr>
        <w:sz w:val="20"/>
        <w:szCs w:val="20"/>
      </w:rPr>
      <w:t>16.9.21</w:t>
    </w:r>
    <w:r>
      <w:rPr>
        <w:sz w:val="20"/>
        <w:szCs w:val="20"/>
      </w:rPr>
      <w:fldChar w:fldCharType="end"/>
    </w:r>
    <w:r>
      <w:rPr>
        <w:sz w:val="20"/>
        <w:szCs w:val="20"/>
        <w:lang w:val="en-US"/>
      </w:rPr>
      <w:t xml:space="preserve">. Responsibility for relevance of the printed version is vested in the user.  </w:t>
    </w:r>
  </w:p>
  <w:p>
    <w:pPr>
      <w:pStyle w:val="Voettekst"/>
      <w:tabs>
        <w:tab w:val="clear" w:pos="4677"/>
        <w:tab w:val="right" w:pos="9355" w:leader="none"/>
      </w:tabs>
      <w:rPr>
        <w:sz w:val="22"/>
        <w:lang w:val="en-US"/>
      </w:rPr>
    </w:pPr>
    <w:r>
      <w:rPr>
        <w:sz w:val="22"/>
        <w:lang w:val="en-US"/>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Voettekst"/>
      <w:jc w:val="right"/>
      <w:rPr/>
    </w:pPr>
    <w:r>
      <w:rPr/>
      <w:fldChar w:fldCharType="begin"/>
    </w:r>
    <w:r>
      <w:rPr/>
      <w:instrText> PAGE </w:instrText>
    </w:r>
    <w:r>
      <w:rPr/>
      <w:fldChar w:fldCharType="separate"/>
    </w:r>
    <w:r>
      <w:rPr/>
      <w:t>2</w:t>
    </w:r>
    <w:r>
      <w:rPr/>
      <w:fldChar w:fldCharType="end"/>
    </w:r>
  </w:p>
  <w:p>
    <w:pPr>
      <w:pStyle w:val="Voettekst"/>
      <w:tabs>
        <w:tab w:val="clear" w:pos="4677"/>
        <w:tab w:val="clear" w:pos="9355"/>
        <w:tab w:val="right" w:pos="9361" w:leader="none"/>
      </w:tabs>
      <w:rPr>
        <w:sz w:val="20"/>
        <w:szCs w:val="20"/>
        <w:lang w:val="en-US"/>
      </w:rPr>
    </w:pPr>
    <w:r>
      <w:rPr>
        <w:sz w:val="20"/>
        <w:szCs w:val="20"/>
        <w:lang w:val="en-US"/>
      </w:rPr>
      <w:t>Present Policy is kept electronically. The managed version is stored in the Information System of Normative Documents.</w:t>
    </w:r>
  </w:p>
  <w:p>
    <w:pPr>
      <w:pStyle w:val="Voettekst"/>
      <w:tabs>
        <w:tab w:val="clear" w:pos="4677"/>
        <w:tab w:val="right" w:pos="9355" w:leader="none"/>
      </w:tabs>
      <w:rPr>
        <w:lang w:val="en-US"/>
      </w:rPr>
    </w:pPr>
    <w:r>
      <w:rPr>
        <w:sz w:val="20"/>
        <w:szCs w:val="20"/>
        <w:lang w:val="en-US"/>
      </w:rPr>
      <w:t xml:space="preserve">Date of printing: </w:t>
    </w:r>
    <w:r>
      <w:rPr>
        <w:sz w:val="20"/>
        <w:szCs w:val="20"/>
      </w:rPr>
      <w:fldChar w:fldCharType="begin"/>
    </w:r>
    <w:r>
      <w:rPr>
        <w:sz w:val="20"/>
        <w:szCs w:val="20"/>
      </w:rPr>
      <w:instrText> DATE \@"d.MM.yy" </w:instrText>
    </w:r>
    <w:r>
      <w:rPr>
        <w:sz w:val="20"/>
        <w:szCs w:val="20"/>
      </w:rPr>
      <w:fldChar w:fldCharType="separate"/>
    </w:r>
    <w:r>
      <w:rPr>
        <w:sz w:val="20"/>
        <w:szCs w:val="20"/>
      </w:rPr>
      <w:t>16.9.21</w:t>
    </w:r>
    <w:r>
      <w:rPr>
        <w:sz w:val="20"/>
        <w:szCs w:val="20"/>
      </w:rPr>
      <w:fldChar w:fldCharType="end"/>
    </w:r>
    <w:r>
      <w:rPr>
        <w:sz w:val="20"/>
        <w:szCs w:val="20"/>
        <w:lang w:val="en-US"/>
      </w:rPr>
      <w:t xml:space="preserve">. Responsibility for relevance of the printed version is vested in the user.  </w:t>
    </w:r>
  </w:p>
  <w:p>
    <w:pPr>
      <w:pStyle w:val="Voettekst"/>
      <w:tabs>
        <w:tab w:val="clear" w:pos="4677"/>
        <w:tab w:val="right" w:pos="9355" w:leader="none"/>
      </w:tabs>
      <w:rPr>
        <w:lang w:val="en-US"/>
      </w:rPr>
    </w:pPr>
    <w:r>
      <w:rPr>
        <w:lang w:val="en-US"/>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Voettekst"/>
      <w:jc w:val="right"/>
      <w:rPr>
        <w:lang w:val="en-US"/>
      </w:rPr>
    </w:pPr>
    <w:r>
      <w:rPr/>
      <w:fldChar w:fldCharType="begin"/>
    </w:r>
    <w:r>
      <w:rPr/>
      <w:instrText> PAGE </w:instrText>
    </w:r>
    <w:r>
      <w:rPr/>
      <w:fldChar w:fldCharType="separate"/>
    </w:r>
    <w:r>
      <w:rPr/>
      <w:t>0</w:t>
    </w:r>
    <w:r>
      <w:rPr/>
      <w:fldChar w:fldCharType="end"/>
    </w:r>
  </w:p>
  <w:p>
    <w:pPr>
      <w:pStyle w:val="Voettekst"/>
      <w:tabs>
        <w:tab w:val="clear" w:pos="4677"/>
        <w:tab w:val="clear" w:pos="9355"/>
        <w:tab w:val="right" w:pos="9361" w:leader="none"/>
      </w:tabs>
      <w:rPr>
        <w:sz w:val="20"/>
        <w:szCs w:val="20"/>
        <w:lang w:val="en-US"/>
      </w:rPr>
    </w:pPr>
    <w:r>
      <w:rPr>
        <w:sz w:val="20"/>
        <w:szCs w:val="20"/>
        <w:lang w:val="en-US"/>
      </w:rPr>
      <w:t>Present Policy is kept electronically. The managed version is stored in the Information System of Normative Documents.</w:t>
    </w:r>
  </w:p>
  <w:p>
    <w:pPr>
      <w:pStyle w:val="Voettekst"/>
      <w:tabs>
        <w:tab w:val="clear" w:pos="4677"/>
        <w:tab w:val="right" w:pos="9355" w:leader="none"/>
      </w:tabs>
      <w:rPr>
        <w:lang w:val="en-US"/>
      </w:rPr>
    </w:pPr>
    <w:r>
      <w:rPr>
        <w:sz w:val="20"/>
        <w:szCs w:val="20"/>
        <w:lang w:val="en-US"/>
      </w:rPr>
      <w:t xml:space="preserve">Date of printing: </w:t>
    </w:r>
    <w:r>
      <w:rPr>
        <w:sz w:val="20"/>
        <w:szCs w:val="20"/>
      </w:rPr>
      <w:fldChar w:fldCharType="begin"/>
    </w:r>
    <w:r>
      <w:rPr>
        <w:sz w:val="20"/>
        <w:szCs w:val="20"/>
      </w:rPr>
      <w:instrText> DATE \@"d-MM-yy" </w:instrText>
    </w:r>
    <w:r>
      <w:rPr>
        <w:sz w:val="20"/>
        <w:szCs w:val="20"/>
      </w:rPr>
      <w:fldChar w:fldCharType="separate"/>
    </w:r>
    <w:r>
      <w:rPr>
        <w:sz w:val="20"/>
        <w:szCs w:val="20"/>
      </w:rPr>
      <w:t>16-09-21</w:t>
    </w:r>
    <w:r>
      <w:rPr>
        <w:sz w:val="20"/>
        <w:szCs w:val="20"/>
      </w:rPr>
      <w:fldChar w:fldCharType="end"/>
    </w:r>
    <w:r>
      <w:rPr>
        <w:sz w:val="20"/>
        <w:szCs w:val="20"/>
        <w:lang w:val="en-US"/>
      </w:rPr>
      <w:t xml:space="preserve">. Responsibility for relevance of the printed version is vested in the user.  </w:t>
    </w:r>
  </w:p>
  <w:p>
    <w:pPr>
      <w:pStyle w:val="Voettekst"/>
      <w:tabs>
        <w:tab w:val="clear" w:pos="4677"/>
        <w:tab w:val="right" w:pos="9355" w:leader="none"/>
      </w:tabs>
      <w:rPr>
        <w:sz w:val="22"/>
        <w:lang w:val="en-US"/>
      </w:rPr>
    </w:pPr>
    <w:r>
      <w:rPr>
        <w:sz w:val="22"/>
        <w:lang w:val="en-US"/>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Voettekst"/>
      <w:jc w:val="right"/>
      <w:rPr>
        <w:sz w:val="20"/>
        <w:szCs w:val="20"/>
      </w:rPr>
    </w:pPr>
    <w:r>
      <w:rPr>
        <w:sz w:val="20"/>
        <w:szCs w:val="20"/>
      </w:rPr>
      <w:fldChar w:fldCharType="begin"/>
    </w:r>
    <w:r>
      <w:rPr>
        <w:sz w:val="20"/>
        <w:szCs w:val="20"/>
      </w:rPr>
      <w:instrText> PAGE </w:instrText>
    </w:r>
    <w:r>
      <w:rPr>
        <w:sz w:val="20"/>
        <w:szCs w:val="20"/>
      </w:rPr>
      <w:fldChar w:fldCharType="separate"/>
    </w:r>
    <w:r>
      <w:rPr>
        <w:sz w:val="20"/>
        <w:szCs w:val="20"/>
      </w:rPr>
      <w:t>5</w:t>
    </w:r>
    <w:r>
      <w:rPr>
        <w:sz w:val="20"/>
        <w:szCs w:val="20"/>
      </w:rPr>
      <w:fldChar w:fldCharType="end"/>
    </w:r>
  </w:p>
  <w:p>
    <w:pPr>
      <w:pStyle w:val="Voettekst"/>
      <w:tabs>
        <w:tab w:val="clear" w:pos="4677"/>
        <w:tab w:val="clear" w:pos="9355"/>
        <w:tab w:val="right" w:pos="9361" w:leader="none"/>
      </w:tabs>
      <w:rPr>
        <w:sz w:val="20"/>
        <w:szCs w:val="20"/>
        <w:lang w:val="en-US"/>
      </w:rPr>
    </w:pPr>
    <w:r>
      <w:rPr>
        <w:sz w:val="20"/>
        <w:szCs w:val="20"/>
        <w:lang w:val="en-US"/>
      </w:rPr>
      <w:t>Present Policy is kept electronically. The managed version is stored in the Information System of Normative Documents.</w:t>
    </w:r>
  </w:p>
  <w:p>
    <w:pPr>
      <w:pStyle w:val="Voettekst"/>
      <w:tabs>
        <w:tab w:val="clear" w:pos="4677"/>
        <w:tab w:val="right" w:pos="9355" w:leader="none"/>
      </w:tabs>
      <w:rPr>
        <w:lang w:val="en-US"/>
      </w:rPr>
    </w:pPr>
    <w:r>
      <w:rPr>
        <w:sz w:val="20"/>
        <w:szCs w:val="20"/>
        <w:lang w:val="en-US"/>
      </w:rPr>
      <w:t xml:space="preserve">Date of printing: </w:t>
    </w:r>
    <w:r>
      <w:rPr>
        <w:sz w:val="20"/>
        <w:szCs w:val="20"/>
      </w:rPr>
      <w:fldChar w:fldCharType="begin"/>
    </w:r>
    <w:r>
      <w:rPr>
        <w:sz w:val="20"/>
        <w:szCs w:val="20"/>
      </w:rPr>
      <w:instrText> DATE \@"d.MM.yy" </w:instrText>
    </w:r>
    <w:r>
      <w:rPr>
        <w:sz w:val="20"/>
        <w:szCs w:val="20"/>
      </w:rPr>
      <w:fldChar w:fldCharType="separate"/>
    </w:r>
    <w:r>
      <w:rPr>
        <w:sz w:val="20"/>
        <w:szCs w:val="20"/>
      </w:rPr>
      <w:t>16.9.21</w:t>
    </w:r>
    <w:r>
      <w:rPr>
        <w:sz w:val="20"/>
        <w:szCs w:val="20"/>
      </w:rPr>
      <w:fldChar w:fldCharType="end"/>
    </w:r>
    <w:r>
      <w:rPr>
        <w:sz w:val="20"/>
        <w:szCs w:val="20"/>
        <w:lang w:val="en-US"/>
      </w:rPr>
      <w:t xml:space="preserve">. Responsibility for relevance of the printed version is vested in the user.  </w:t>
    </w:r>
  </w:p>
  <w:p>
    <w:pPr>
      <w:pStyle w:val="Voettekst"/>
      <w:tabs>
        <w:tab w:val="clear" w:pos="4677"/>
        <w:tab w:val="right" w:pos="9355" w:leader="none"/>
      </w:tabs>
      <w:rPr>
        <w:sz w:val="20"/>
        <w:szCs w:val="20"/>
        <w:lang w:val="en-US"/>
      </w:rPr>
    </w:pPr>
    <w:r>
      <w:rPr>
        <w:sz w:val="20"/>
        <w:szCs w:val="20"/>
        <w:lang w:val="en-US"/>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Koptekst"/>
      <w:rPr>
        <w:lang w:val="en-US"/>
      </w:rPr>
    </w:pPr>
    <w:bookmarkStart w:id="0" w:name="OLE_LINK13"/>
    <w:bookmarkStart w:id="1" w:name="OLE_LINK14"/>
    <w:bookmarkStart w:id="2" w:name="_Hlk210108411"/>
    <w:bookmarkStart w:id="3" w:name="OLE_LINK17"/>
    <w:r>
      <w:rPr>
        <w:lang w:val="en-US"/>
      </w:rPr>
      <w:t>S</w:t>
    </w:r>
    <w:r>
      <w:rPr/>
      <w:t>0-</w:t>
    </w:r>
    <w:r>
      <w:rPr>
        <w:lang w:val="en-US"/>
      </w:rPr>
      <w:t>P</w:t>
    </w:r>
    <w:r>
      <w:rPr/>
      <w:t>-0</w:t>
    </w:r>
    <w:r>
      <w:rPr>
        <w:lang w:val="en-US"/>
      </w:rPr>
      <w:t>3</w:t>
    </w:r>
  </w:p>
  <w:p>
    <w:pPr>
      <w:pStyle w:val="Koptekst"/>
      <w:rPr/>
    </w:pPr>
    <w:r>
      <w:rPr>
        <w:lang w:val="en-US"/>
      </w:rPr>
      <w:t>Version</w:t>
    </w:r>
    <w:r>
      <w:rPr/>
      <w:t xml:space="preserve"> 2.0</w:t>
    </w:r>
    <w:bookmarkEnd w:id="0"/>
    <w:bookmarkEnd w:id="1"/>
    <w:bookmarkEnd w:id="2"/>
    <w:bookmarkEnd w:id="3"/>
  </w:p>
  <w:p>
    <w:pPr>
      <w:pStyle w:val="Koptekst"/>
      <w:jc w:val="center"/>
      <w:rPr>
        <w:lang w:val="en-US"/>
      </w:rPr>
    </w:pPr>
    <w:r>
      <w:rPr>
        <w:lang w:val="en-US"/>
      </w:rPr>
      <w:t>Environmental Policy</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Koptekst"/>
      <w:jc w:val="center"/>
      <w:rPr>
        <w:lang w:val="en-US"/>
      </w:rPr>
    </w:pPr>
    <w:r>
      <w:rPr>
        <w:lang w:val="en-US"/>
      </w:rPr>
      <w:t>Environmental Policy</w:t>
    </w:r>
  </w:p>
  <w:p>
    <w:pPr>
      <w:pStyle w:val="Koptekst"/>
      <w:rPr>
        <w:lang w:val="en-US"/>
      </w:rPr>
    </w:pPr>
    <w:r>
      <w:rPr>
        <w:lang w:val="en-US"/>
      </w:rPr>
      <w:t>S0-P-03</w:t>
    </w:r>
  </w:p>
  <w:p>
    <w:pPr>
      <w:pStyle w:val="Koptekst"/>
      <w:rPr>
        <w:lang w:val="en-US"/>
      </w:rPr>
    </w:pPr>
    <w:r>
      <w:rPr>
        <w:lang w:val="en-US"/>
      </w:rPr>
      <w:t>Version 2.0</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Koptekst"/>
      <w:jc w:val="center"/>
      <w:rPr>
        <w:lang w:val="en-US"/>
      </w:rPr>
    </w:pPr>
    <w:r>
      <w:rPr>
        <w:lang w:val="en-US"/>
      </w:rPr>
      <w:t>Environmental Policy</w:t>
    </w:r>
  </w:p>
  <w:p>
    <w:pPr>
      <w:pStyle w:val="Koptekst"/>
      <w:rPr>
        <w:lang w:val="en-US"/>
      </w:rPr>
    </w:pPr>
    <w:r>
      <w:rPr>
        <w:lang w:val="en-US"/>
      </w:rPr>
      <w:t>S0-P-03</w:t>
    </w:r>
  </w:p>
  <w:p>
    <w:pPr>
      <w:pStyle w:val="Koptekst"/>
      <w:rPr>
        <w:lang w:val="en-US"/>
      </w:rPr>
    </w:pPr>
    <w:r>
      <w:rPr>
        <w:lang w:val="en-US"/>
      </w:rPr>
      <w:t>Version 2.0</w: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Koptekst"/>
      <w:jc w:val="center"/>
      <w:rPr>
        <w:lang w:val="en-US"/>
      </w:rPr>
    </w:pPr>
    <w:r>
      <w:rPr>
        <w:lang w:val="en-US"/>
      </w:rPr>
      <w:t>Environmental Policy</w:t>
    </w:r>
  </w:p>
  <w:p>
    <w:pPr>
      <w:pStyle w:val="Koptekst"/>
      <w:rPr>
        <w:lang w:val="en-US"/>
      </w:rPr>
    </w:pPr>
    <w:r>
      <w:rPr>
        <w:lang w:val="en-US"/>
      </w:rPr>
      <w:t>S0-P-03</w:t>
    </w:r>
  </w:p>
  <w:p>
    <w:pPr>
      <w:pStyle w:val="Koptekst"/>
      <w:rPr>
        <w:lang w:val="en-US"/>
      </w:rPr>
    </w:pPr>
    <w:r>
      <w:rPr>
        <w:lang w:val="en-US"/>
      </w:rPr>
      <w:t>Version 2.0</w:t>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Koptekst"/>
      <w:jc w:val="center"/>
      <w:rPr>
        <w:lang w:val="en-US"/>
      </w:rPr>
    </w:pPr>
    <w:r>
      <w:rPr>
        <w:lang w:val="en-US"/>
      </w:rPr>
      <w:t>Environmental Policy</w:t>
    </w:r>
  </w:p>
  <w:p>
    <w:pPr>
      <w:pStyle w:val="Koptekst"/>
      <w:rPr>
        <w:lang w:val="en-US"/>
      </w:rPr>
    </w:pPr>
    <w:r>
      <w:rPr>
        <w:lang w:val="en-US"/>
      </w:rPr>
      <w:t>S0-P-03</w:t>
    </w:r>
  </w:p>
  <w:p>
    <w:pPr>
      <w:pStyle w:val="Koptekst"/>
      <w:rPr>
        <w:lang w:val="en-US"/>
      </w:rPr>
    </w:pPr>
    <w:r>
      <w:rPr>
        <w:lang w:val="en-US"/>
      </w:rPr>
      <w:t>Version 2.0</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10"/>
  <w:defaultTabStop w:val="709"/>
  <w:autoHyphenation w:val="true"/>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US" w:eastAsia="en-US" w:bidi="ar-SA"/>
      </w:rPr>
    </w:rPrDefault>
    <w:pPrDefault>
      <w:pPr>
        <w:suppressAutoHyphens w:val="true"/>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Normal Inden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line number"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uiPriority="99"/>
    <w:lsdException w:name="Strong" w:locked="1" w:qFormat="1"/>
    <w:lsdException w:name="Emphasis" w:uiPriority="20" w:qFormat="1"/>
    <w:lsdException w:name="Document Map" w:locked="1"/>
    <w:lsdException w:name="Plain Text" w:locked="1"/>
    <w:lsdException w:name="E-mail Signature"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annotation subjec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Table Theme" w:lock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atentStyles>
  <w:style w:type="paragraph" w:styleId="Normal" w:default="1">
    <w:name w:val="Normal"/>
    <w:qFormat/>
    <w:rsid w:val="007c1d93"/>
    <w:pPr>
      <w:widowControl/>
      <w:bidi w:val="0"/>
      <w:spacing w:before="0" w:after="0"/>
      <w:jc w:val="both"/>
    </w:pPr>
    <w:rPr>
      <w:rFonts w:ascii="Times New Roman" w:hAnsi="Times New Roman" w:eastAsia="Times New Roman" w:cs="Times New Roman"/>
      <w:color w:val="auto"/>
      <w:kern w:val="0"/>
      <w:sz w:val="24"/>
      <w:szCs w:val="24"/>
      <w:lang w:val="ru-RU" w:eastAsia="ru-RU" w:bidi="ar-SA"/>
    </w:rPr>
  </w:style>
  <w:style w:type="paragraph" w:styleId="Kop1">
    <w:name w:val="Heading 1"/>
    <w:basedOn w:val="Normal"/>
    <w:next w:val="Kop2"/>
    <w:qFormat/>
    <w:locked/>
    <w:rsid w:val="009c31bd"/>
    <w:pPr>
      <w:keepNext w:val="true"/>
      <w:keepLines/>
      <w:widowControl w:val="false"/>
      <w:tabs>
        <w:tab w:val="clear" w:pos="709"/>
        <w:tab w:val="left" w:pos="340" w:leader="none"/>
      </w:tabs>
      <w:overflowPunct w:val="true"/>
      <w:spacing w:before="360" w:after="60"/>
      <w:ind w:left="340" w:hanging="0"/>
      <w:textAlignment w:val="baseline"/>
      <w:outlineLvl w:val="0"/>
    </w:pPr>
    <w:rPr>
      <w:b/>
      <w:bCs/>
      <w:kern w:val="2"/>
      <w:sz w:val="28"/>
    </w:rPr>
  </w:style>
  <w:style w:type="paragraph" w:styleId="Kop2">
    <w:name w:val="Heading 2"/>
    <w:basedOn w:val="Normal"/>
    <w:qFormat/>
    <w:locked/>
    <w:rsid w:val="009c31bd"/>
    <w:pPr>
      <w:widowControl w:val="false"/>
      <w:overflowPunct w:val="true"/>
      <w:spacing w:before="60" w:after="0"/>
      <w:ind w:left="454" w:hanging="454"/>
      <w:textAlignment w:val="baseline"/>
      <w:outlineLvl w:val="1"/>
    </w:pPr>
    <w:rPr>
      <w:b/>
      <w:szCs w:val="20"/>
    </w:rPr>
  </w:style>
  <w:style w:type="paragraph" w:styleId="Kop3">
    <w:name w:val="Heading 3"/>
    <w:basedOn w:val="Normal"/>
    <w:qFormat/>
    <w:locked/>
    <w:rsid w:val="009c31bd"/>
    <w:pPr>
      <w:widowControl w:val="false"/>
      <w:tabs>
        <w:tab w:val="clear" w:pos="709"/>
        <w:tab w:val="left" w:pos="1021" w:leader="none"/>
      </w:tabs>
      <w:overflowPunct w:val="true"/>
      <w:spacing w:before="60" w:after="0"/>
      <w:ind w:left="1021" w:hanging="681"/>
      <w:textAlignment w:val="baseline"/>
      <w:outlineLvl w:val="2"/>
    </w:pPr>
    <w:rPr>
      <w:szCs w:val="20"/>
    </w:rPr>
  </w:style>
  <w:style w:type="paragraph" w:styleId="Kop4">
    <w:name w:val="Heading 4"/>
    <w:basedOn w:val="Normal"/>
    <w:qFormat/>
    <w:locked/>
    <w:rsid w:val="009c31bd"/>
    <w:pPr>
      <w:widowControl w:val="false"/>
      <w:overflowPunct w:val="true"/>
      <w:spacing w:before="60" w:after="0"/>
      <w:textAlignment w:val="baseline"/>
      <w:outlineLvl w:val="3"/>
    </w:pPr>
    <w:rPr>
      <w:szCs w:val="20"/>
    </w:rPr>
  </w:style>
  <w:style w:type="paragraph" w:styleId="Kop5">
    <w:name w:val="Heading 5"/>
    <w:basedOn w:val="Normal"/>
    <w:next w:val="Normal"/>
    <w:qFormat/>
    <w:locked/>
    <w:rsid w:val="009c31bd"/>
    <w:pPr>
      <w:widowControl w:val="false"/>
      <w:overflowPunct w:val="true"/>
      <w:spacing w:before="60" w:after="0"/>
      <w:textAlignment w:val="baseline"/>
      <w:outlineLvl w:val="4"/>
    </w:pPr>
    <w:rPr>
      <w:szCs w:val="20"/>
    </w:rPr>
  </w:style>
  <w:style w:type="paragraph" w:styleId="Kop6">
    <w:name w:val="Heading 6"/>
    <w:basedOn w:val="Normal"/>
    <w:next w:val="Normal"/>
    <w:qFormat/>
    <w:locked/>
    <w:rsid w:val="009c31bd"/>
    <w:pPr>
      <w:widowControl w:val="false"/>
      <w:overflowPunct w:val="true"/>
      <w:spacing w:before="60" w:after="0"/>
      <w:textAlignment w:val="baseline"/>
      <w:outlineLvl w:val="5"/>
    </w:pPr>
    <w:rPr>
      <w:szCs w:val="20"/>
    </w:rPr>
  </w:style>
  <w:style w:type="paragraph" w:styleId="Kop7">
    <w:name w:val="Heading 7"/>
    <w:basedOn w:val="Normal"/>
    <w:next w:val="Normal"/>
    <w:qFormat/>
    <w:locked/>
    <w:rsid w:val="009c31bd"/>
    <w:pPr>
      <w:widowControl w:val="false"/>
      <w:overflowPunct w:val="true"/>
      <w:spacing w:before="60" w:after="0"/>
      <w:textAlignment w:val="baseline"/>
      <w:outlineLvl w:val="6"/>
    </w:pPr>
    <w:rPr>
      <w:szCs w:val="20"/>
    </w:rPr>
  </w:style>
  <w:style w:type="paragraph" w:styleId="Kop8">
    <w:name w:val="Heading 8"/>
    <w:basedOn w:val="Normal"/>
    <w:next w:val="Normal"/>
    <w:qFormat/>
    <w:locked/>
    <w:rsid w:val="009c31bd"/>
    <w:pPr>
      <w:widowControl w:val="false"/>
      <w:overflowPunct w:val="true"/>
      <w:spacing w:before="60" w:after="0"/>
      <w:textAlignment w:val="baseline"/>
      <w:outlineLvl w:val="7"/>
    </w:pPr>
    <w:rPr>
      <w:szCs w:val="20"/>
    </w:rPr>
  </w:style>
  <w:style w:type="paragraph" w:styleId="Kop9">
    <w:name w:val="Heading 9"/>
    <w:basedOn w:val="Normal"/>
    <w:next w:val="Normal"/>
    <w:qFormat/>
    <w:locked/>
    <w:rsid w:val="009c31bd"/>
    <w:pPr>
      <w:widowControl w:val="false"/>
      <w:overflowPunct w:val="true"/>
      <w:spacing w:before="60" w:after="0"/>
      <w:textAlignment w:val="baseline"/>
      <w:outlineLvl w:val="8"/>
    </w:pPr>
    <w:rPr>
      <w:szCs w:val="20"/>
    </w:rPr>
  </w:style>
  <w:style w:type="character" w:styleId="DefaultParagraphFont" w:default="1">
    <w:name w:val="Default Paragraph Font"/>
    <w:uiPriority w:val="1"/>
    <w:semiHidden/>
    <w:unhideWhenUsed/>
    <w:qFormat/>
    <w:rPr/>
  </w:style>
  <w:style w:type="character" w:styleId="Internetkoppeling">
    <w:name w:val="Internetkoppeling"/>
    <w:basedOn w:val="DefaultParagraphFont"/>
    <w:uiPriority w:val="99"/>
    <w:rsid w:val="009c31bd"/>
    <w:rPr>
      <w:color w:val="0000FF"/>
      <w:u w:val="single"/>
    </w:rPr>
  </w:style>
  <w:style w:type="character" w:styleId="Bezochteinternetkoppeling">
    <w:name w:val="Bezochte internetkoppeling"/>
    <w:basedOn w:val="DefaultParagraphFont"/>
    <w:locked/>
    <w:rsid w:val="009c31bd"/>
    <w:rPr>
      <w:color w:val="800080"/>
      <w:u w:val="single"/>
    </w:rPr>
  </w:style>
  <w:style w:type="character" w:styleId="S00" w:customStyle="1">
    <w:name w:val="s00 Текст Знак"/>
    <w:basedOn w:val="DefaultParagraphFont"/>
    <w:link w:val="s00"/>
    <w:qFormat/>
    <w:rsid w:val="0059731f"/>
    <w:rPr>
      <w:sz w:val="24"/>
      <w:lang w:val="ru-RU" w:eastAsia="ru-RU" w:bidi="ar-SA"/>
    </w:rPr>
  </w:style>
  <w:style w:type="character" w:styleId="S03" w:customStyle="1">
    <w:name w:val="s03 Пункт Знак"/>
    <w:basedOn w:val="DefaultParagraphFont"/>
    <w:link w:val="s03"/>
    <w:qFormat/>
    <w:rsid w:val="00e91c16"/>
    <w:rPr>
      <w:bCs/>
      <w:sz w:val="24"/>
    </w:rPr>
  </w:style>
  <w:style w:type="character" w:styleId="Pagenumber">
    <w:name w:val="page number"/>
    <w:basedOn w:val="DefaultParagraphFont"/>
    <w:qFormat/>
    <w:rsid w:val="00ac5c16"/>
    <w:rPr>
      <w:sz w:val="22"/>
    </w:rPr>
  </w:style>
  <w:style w:type="character" w:styleId="Voetnootanker">
    <w:name w:val="Voetnootanker"/>
    <w:rPr>
      <w:sz w:val="20"/>
      <w:vertAlign w:val="superscript"/>
    </w:rPr>
  </w:style>
  <w:style w:type="character" w:styleId="FootnoteCharacters">
    <w:name w:val="Footnote Characters"/>
    <w:basedOn w:val="DefaultParagraphFont"/>
    <w:semiHidden/>
    <w:qFormat/>
    <w:rsid w:val="009c31bd"/>
    <w:rPr>
      <w:sz w:val="20"/>
      <w:vertAlign w:val="superscript"/>
    </w:rPr>
  </w:style>
  <w:style w:type="character" w:styleId="Eindnootanker">
    <w:name w:val="Eindnootanker"/>
    <w:rPr>
      <w:vertAlign w:val="superscript"/>
    </w:rPr>
  </w:style>
  <w:style w:type="character" w:styleId="EndnoteCharacters">
    <w:name w:val="Endnote Characters"/>
    <w:basedOn w:val="DefaultParagraphFont"/>
    <w:semiHidden/>
    <w:qFormat/>
    <w:locked/>
    <w:rsid w:val="009c31bd"/>
    <w:rPr>
      <w:vertAlign w:val="superscript"/>
    </w:rPr>
  </w:style>
  <w:style w:type="character" w:styleId="Annotationreference">
    <w:name w:val="annotation reference"/>
    <w:basedOn w:val="DefaultParagraphFont"/>
    <w:semiHidden/>
    <w:qFormat/>
    <w:locked/>
    <w:rsid w:val="009c31bd"/>
    <w:rPr>
      <w:sz w:val="16"/>
      <w:szCs w:val="16"/>
    </w:rPr>
  </w:style>
  <w:style w:type="character" w:styleId="S20" w:customStyle="1">
    <w:name w:val="s20 Заголовок Знак"/>
    <w:basedOn w:val="DefaultParagraphFont"/>
    <w:link w:val="s20"/>
    <w:qFormat/>
    <w:rsid w:val="00c26baf"/>
    <w:rPr>
      <w:b/>
      <w:bCs/>
      <w:sz w:val="28"/>
      <w:lang w:val="ru-RU" w:eastAsia="ru-RU" w:bidi="ar-SA"/>
    </w:rPr>
  </w:style>
  <w:style w:type="character" w:styleId="CommentTextChar" w:customStyle="1">
    <w:name w:val="Comment Text Char"/>
    <w:basedOn w:val="DefaultParagraphFont"/>
    <w:link w:val="CommentText"/>
    <w:semiHidden/>
    <w:qFormat/>
    <w:rsid w:val="007c1d93"/>
    <w:rPr>
      <w:sz w:val="24"/>
    </w:rPr>
  </w:style>
  <w:style w:type="character" w:styleId="CommentSubjectChar" w:customStyle="1">
    <w:name w:val="Comment Subject Char"/>
    <w:basedOn w:val="CommentTextChar"/>
    <w:link w:val="CommentSubject"/>
    <w:qFormat/>
    <w:rsid w:val="007c1d93"/>
    <w:rPr/>
  </w:style>
  <w:style w:type="character" w:styleId="Applestylespan" w:customStyle="1">
    <w:name w:val="apple-style-span"/>
    <w:basedOn w:val="DefaultParagraphFont"/>
    <w:qFormat/>
    <w:rsid w:val="00776490"/>
    <w:rPr/>
  </w:style>
  <w:style w:type="character" w:styleId="HeaderChar" w:customStyle="1">
    <w:name w:val="Header Char"/>
    <w:basedOn w:val="DefaultParagraphFont"/>
    <w:link w:val="Header"/>
    <w:qFormat/>
    <w:rsid w:val="00b92c14"/>
    <w:rPr>
      <w:b/>
      <w:sz w:val="22"/>
    </w:rPr>
  </w:style>
  <w:style w:type="character" w:styleId="S131" w:customStyle="1">
    <w:name w:val="s13 графы таблицы &gt; 1 Знак"/>
    <w:basedOn w:val="S00"/>
    <w:link w:val="s131"/>
    <w:qFormat/>
    <w:rsid w:val="008a2c90"/>
    <w:rPr>
      <w:sz w:val="22"/>
    </w:rPr>
  </w:style>
  <w:style w:type="character" w:styleId="TitleChar" w:customStyle="1">
    <w:name w:val="Title Char"/>
    <w:basedOn w:val="DefaultParagraphFont"/>
    <w:link w:val="Title"/>
    <w:qFormat/>
    <w:rsid w:val="008a2c90"/>
    <w:rPr>
      <w:sz w:val="40"/>
    </w:rPr>
  </w:style>
  <w:style w:type="character" w:styleId="S11" w:customStyle="1">
    <w:name w:val="s11 заголовки граф таблицы Знак"/>
    <w:basedOn w:val="DefaultParagraphFont"/>
    <w:link w:val="s11"/>
    <w:qFormat/>
    <w:rsid w:val="008a2c90"/>
    <w:rPr>
      <w:sz w:val="22"/>
    </w:rPr>
  </w:style>
  <w:style w:type="character" w:styleId="FooterChar" w:customStyle="1">
    <w:name w:val="Footer Char"/>
    <w:basedOn w:val="DefaultParagraphFont"/>
    <w:link w:val="Footer"/>
    <w:uiPriority w:val="99"/>
    <w:qFormat/>
    <w:rsid w:val="009517e5"/>
    <w:rPr>
      <w:sz w:val="24"/>
      <w:szCs w:val="24"/>
    </w:rPr>
  </w:style>
  <w:style w:type="character" w:styleId="Appleconvertedspace" w:customStyle="1">
    <w:name w:val="apple-converted-space"/>
    <w:basedOn w:val="DefaultParagraphFont"/>
    <w:qFormat/>
    <w:rsid w:val="0013617a"/>
    <w:rPr/>
  </w:style>
  <w:style w:type="character" w:styleId="Geaccentueerd">
    <w:name w:val="Geaccentueerd"/>
    <w:basedOn w:val="DefaultParagraphFont"/>
    <w:uiPriority w:val="20"/>
    <w:qFormat/>
    <w:rsid w:val="0013617a"/>
    <w:rPr>
      <w:i/>
      <w:iCs/>
    </w:rPr>
  </w:style>
  <w:style w:type="paragraph" w:styleId="Kop">
    <w:name w:val="Kop"/>
    <w:basedOn w:val="Normal"/>
    <w:next w:val="Tekstblok"/>
    <w:qFormat/>
    <w:pPr>
      <w:keepNext w:val="true"/>
      <w:spacing w:before="240" w:after="120"/>
    </w:pPr>
    <w:rPr>
      <w:rFonts w:ascii="Liberation Sans" w:hAnsi="Liberation Sans" w:eastAsia="Microsoft YaHei" w:cs="Lucida Sans"/>
      <w:sz w:val="28"/>
      <w:szCs w:val="28"/>
    </w:rPr>
  </w:style>
  <w:style w:type="paragraph" w:styleId="Tekstblok">
    <w:name w:val="Body Text"/>
    <w:basedOn w:val="Normal"/>
    <w:pPr>
      <w:spacing w:lineRule="auto" w:line="276" w:before="0" w:after="140"/>
    </w:pPr>
    <w:rPr/>
  </w:style>
  <w:style w:type="paragraph" w:styleId="Lijst">
    <w:name w:val="List"/>
    <w:basedOn w:val="Tekstblok"/>
    <w:pPr/>
    <w:rPr>
      <w:rFonts w:cs="Lucida Sans"/>
    </w:rPr>
  </w:style>
  <w:style w:type="paragraph" w:styleId="Bijschrift">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S16" w:customStyle="1">
    <w:name w:val="s16 рисунок №"/>
    <w:basedOn w:val="S001"/>
    <w:qFormat/>
    <w:rsid w:val="009c31bd"/>
    <w:pPr>
      <w:keepLines/>
      <w:widowControl/>
      <w:spacing w:before="120" w:after="120"/>
      <w:ind w:hanging="0"/>
      <w:jc w:val="center"/>
    </w:pPr>
    <w:rPr/>
  </w:style>
  <w:style w:type="paragraph" w:styleId="S001" w:customStyle="1">
    <w:name w:val="s00 Текст"/>
    <w:basedOn w:val="Normal"/>
    <w:link w:val="s000"/>
    <w:qFormat/>
    <w:rsid w:val="009c31bd"/>
    <w:pPr>
      <w:widowControl w:val="false"/>
      <w:overflowPunct w:val="true"/>
      <w:spacing w:before="60" w:after="0"/>
      <w:ind w:firstLine="340"/>
      <w:textAlignment w:val="baseline"/>
    </w:pPr>
    <w:rPr>
      <w:szCs w:val="20"/>
    </w:rPr>
  </w:style>
  <w:style w:type="paragraph" w:styleId="S031" w:customStyle="1">
    <w:name w:val="s03 Пункт"/>
    <w:basedOn w:val="S02"/>
    <w:link w:val="s030"/>
    <w:qFormat/>
    <w:rsid w:val="009c31bd"/>
    <w:pPr>
      <w:keepNext w:val="false"/>
      <w:keepLines w:val="false"/>
      <w:tabs>
        <w:tab w:val="clear" w:pos="588"/>
        <w:tab w:val="clear" w:pos="1134"/>
        <w:tab w:val="left" w:pos="1004" w:leader="none"/>
      </w:tabs>
      <w:ind w:left="-56" w:hanging="0"/>
      <w:outlineLvl w:val="2"/>
    </w:pPr>
    <w:rPr>
      <w:b w:val="false"/>
    </w:rPr>
  </w:style>
  <w:style w:type="paragraph" w:styleId="S02" w:customStyle="1">
    <w:name w:val="s02 подРАЗДЕЛ"/>
    <w:basedOn w:val="S01"/>
    <w:next w:val="S031"/>
    <w:qFormat/>
    <w:rsid w:val="009c31bd"/>
    <w:pPr>
      <w:tabs>
        <w:tab w:val="clear" w:pos="644"/>
        <w:tab w:val="left" w:pos="588" w:leader="none"/>
        <w:tab w:val="left" w:pos="1134" w:leader="none"/>
      </w:tabs>
      <w:spacing w:before="60" w:after="0"/>
      <w:ind w:left="-112" w:hanging="0"/>
      <w:outlineLvl w:val="1"/>
    </w:pPr>
    <w:rPr>
      <w:sz w:val="24"/>
    </w:rPr>
  </w:style>
  <w:style w:type="paragraph" w:styleId="S01" w:customStyle="1">
    <w:name w:val="s01 РАЗДЕЛ"/>
    <w:basedOn w:val="Normal"/>
    <w:next w:val="S02"/>
    <w:qFormat/>
    <w:rsid w:val="009c31bd"/>
    <w:pPr>
      <w:keepNext w:val="true"/>
      <w:keepLines/>
      <w:tabs>
        <w:tab w:val="clear" w:pos="709"/>
        <w:tab w:val="left" w:pos="644" w:leader="none"/>
      </w:tabs>
      <w:spacing w:before="240" w:after="120"/>
      <w:ind w:left="-56" w:firstLine="340"/>
      <w:outlineLvl w:val="0"/>
    </w:pPr>
    <w:rPr>
      <w:b/>
      <w:bCs/>
      <w:sz w:val="28"/>
      <w:szCs w:val="20"/>
    </w:rPr>
  </w:style>
  <w:style w:type="paragraph" w:styleId="S08" w:customStyle="1">
    <w:name w:val="s08 Список а)"/>
    <w:basedOn w:val="S031"/>
    <w:qFormat/>
    <w:rsid w:val="009c31bd"/>
    <w:pPr>
      <w:ind w:left="-56" w:firstLine="340"/>
      <w:outlineLvl w:val="4"/>
    </w:pPr>
    <w:rPr/>
  </w:style>
  <w:style w:type="paragraph" w:styleId="S04" w:customStyle="1">
    <w:name w:val="s04 подПункт"/>
    <w:basedOn w:val="S031"/>
    <w:qFormat/>
    <w:rsid w:val="009c31bd"/>
    <w:pPr>
      <w:tabs>
        <w:tab w:val="left" w:pos="1004" w:leader="none"/>
        <w:tab w:val="left" w:pos="1276" w:leader="none"/>
      </w:tabs>
      <w:ind w:left="-56" w:firstLine="340"/>
      <w:outlineLvl w:val="3"/>
    </w:pPr>
    <w:rPr/>
  </w:style>
  <w:style w:type="paragraph" w:styleId="S26" w:customStyle="1">
    <w:name w:val="s26 Заголовок приложения"/>
    <w:basedOn w:val="Normal"/>
    <w:next w:val="S001"/>
    <w:qFormat/>
    <w:rsid w:val="009c31bd"/>
    <w:pPr>
      <w:widowControl w:val="false"/>
      <w:overflowPunct w:val="true"/>
      <w:spacing w:before="60" w:after="120"/>
      <w:jc w:val="center"/>
      <w:textAlignment w:val="baseline"/>
      <w:outlineLvl w:val="0"/>
    </w:pPr>
    <w:rPr>
      <w:b/>
      <w:sz w:val="28"/>
      <w:szCs w:val="20"/>
    </w:rPr>
  </w:style>
  <w:style w:type="paragraph" w:styleId="Inhoudsopgave1">
    <w:name w:val="TOC 1"/>
    <w:basedOn w:val="Normal"/>
    <w:next w:val="Normal"/>
    <w:semiHidden/>
    <w:locked/>
    <w:rsid w:val="009c31bd"/>
    <w:pPr>
      <w:widowControl w:val="false"/>
      <w:tabs>
        <w:tab w:val="clear" w:pos="709"/>
        <w:tab w:val="left" w:pos="567" w:leader="none"/>
        <w:tab w:val="decimal" w:pos="9356" w:leader="dot"/>
      </w:tabs>
      <w:overflowPunct w:val="true"/>
      <w:spacing w:before="60" w:after="0"/>
      <w:ind w:left="567" w:right="340" w:hanging="567"/>
      <w:textAlignment w:val="baseline"/>
    </w:pPr>
    <w:rPr>
      <w:b/>
      <w:bCs/>
    </w:rPr>
  </w:style>
  <w:style w:type="paragraph" w:styleId="Inhoudsopgave2">
    <w:name w:val="TOC 2"/>
    <w:basedOn w:val="Normal"/>
    <w:next w:val="Normal"/>
    <w:semiHidden/>
    <w:locked/>
    <w:rsid w:val="009c31bd"/>
    <w:pPr>
      <w:widowControl w:val="false"/>
      <w:tabs>
        <w:tab w:val="clear" w:pos="709"/>
        <w:tab w:val="left" w:pos="960" w:leader="none"/>
        <w:tab w:val="right" w:pos="9356" w:leader="dot"/>
      </w:tabs>
      <w:overflowPunct w:val="true"/>
      <w:spacing w:before="60" w:after="0"/>
      <w:ind w:left="992" w:right="340" w:hanging="765"/>
      <w:textAlignment w:val="baseline"/>
    </w:pPr>
    <w:rPr>
      <w:szCs w:val="20"/>
    </w:rPr>
  </w:style>
  <w:style w:type="paragraph" w:styleId="Eindnoot">
    <w:name w:val="Endnote Text"/>
    <w:basedOn w:val="Normal"/>
    <w:semiHidden/>
    <w:locked/>
    <w:rsid w:val="009c31bd"/>
    <w:pPr>
      <w:widowControl w:val="false"/>
      <w:overflowPunct w:val="true"/>
      <w:spacing w:before="60" w:after="0"/>
      <w:textAlignment w:val="baseline"/>
    </w:pPr>
    <w:rPr>
      <w:sz w:val="20"/>
      <w:szCs w:val="20"/>
    </w:rPr>
  </w:style>
  <w:style w:type="paragraph" w:styleId="S21" w:customStyle="1">
    <w:name w:val="s21 Подзаголовок"/>
    <w:next w:val="S28"/>
    <w:qFormat/>
    <w:rsid w:val="009c31bd"/>
    <w:pPr>
      <w:widowControl w:val="false"/>
      <w:bidi w:val="0"/>
      <w:spacing w:before="240" w:after="120"/>
      <w:jc w:val="both"/>
    </w:pPr>
    <w:rPr>
      <w:rFonts w:ascii="Times New Roman" w:hAnsi="Times New Roman" w:eastAsia="Times New Roman" w:cs="Times New Roman"/>
      <w:b/>
      <w:bCs/>
      <w:color w:val="auto"/>
      <w:kern w:val="0"/>
      <w:sz w:val="24"/>
      <w:szCs w:val="20"/>
      <w:lang w:val="ru-RU" w:eastAsia="ru-RU" w:bidi="ar-SA"/>
    </w:rPr>
  </w:style>
  <w:style w:type="paragraph" w:styleId="S28" w:customStyle="1">
    <w:name w:val="s28 Предисловие-Пункты"/>
    <w:qFormat/>
    <w:rsid w:val="009c31bd"/>
    <w:pPr>
      <w:widowControl w:val="false"/>
      <w:tabs>
        <w:tab w:val="clear" w:pos="709"/>
        <w:tab w:val="left" w:pos="360" w:leader="none"/>
      </w:tabs>
      <w:bidi w:val="0"/>
      <w:spacing w:before="120" w:after="120"/>
      <w:ind w:left="340" w:hanging="340"/>
      <w:jc w:val="both"/>
    </w:pPr>
    <w:rPr>
      <w:rFonts w:ascii="Times New Roman" w:hAnsi="Times New Roman" w:eastAsia="Times New Roman" w:cs="Times New Roman"/>
      <w:color w:val="auto"/>
      <w:kern w:val="0"/>
      <w:sz w:val="24"/>
      <w:szCs w:val="20"/>
      <w:lang w:val="ru-RU" w:eastAsia="ru-RU" w:bidi="ar-SA"/>
    </w:rPr>
  </w:style>
  <w:style w:type="paragraph" w:styleId="S06" w:customStyle="1">
    <w:name w:val="s06 Список -"/>
    <w:basedOn w:val="S031"/>
    <w:qFormat/>
    <w:rsid w:val="009c31bd"/>
    <w:pPr>
      <w:tabs>
        <w:tab w:val="clear" w:pos="1004"/>
        <w:tab w:val="left" w:pos="360" w:leader="none"/>
      </w:tabs>
    </w:pPr>
    <w:rPr/>
  </w:style>
  <w:style w:type="paragraph" w:styleId="S22" w:customStyle="1">
    <w:name w:val="s22 Титульный лист"/>
    <w:basedOn w:val="Normal"/>
    <w:qFormat/>
    <w:rsid w:val="009c31bd"/>
    <w:pPr>
      <w:widowControl w:val="false"/>
      <w:overflowPunct w:val="true"/>
      <w:jc w:val="center"/>
      <w:textAlignment w:val="baseline"/>
    </w:pPr>
    <w:rPr>
      <w:b/>
      <w:sz w:val="36"/>
      <w:szCs w:val="20"/>
    </w:rPr>
  </w:style>
  <w:style w:type="paragraph" w:styleId="Kopenvoettekst">
    <w:name w:val="Kop- en voettekst"/>
    <w:basedOn w:val="Normal"/>
    <w:qFormat/>
    <w:pPr/>
    <w:rPr/>
  </w:style>
  <w:style w:type="paragraph" w:styleId="Koptekst">
    <w:name w:val="Header"/>
    <w:basedOn w:val="Normal"/>
    <w:link w:val="HeaderChar"/>
    <w:rsid w:val="009c31bd"/>
    <w:pPr>
      <w:widowControl w:val="false"/>
      <w:overflowPunct w:val="true"/>
      <w:jc w:val="right"/>
      <w:textAlignment w:val="baseline"/>
    </w:pPr>
    <w:rPr>
      <w:b/>
      <w:sz w:val="22"/>
      <w:szCs w:val="20"/>
    </w:rPr>
  </w:style>
  <w:style w:type="paragraph" w:styleId="S121" w:customStyle="1">
    <w:name w:val="s12 графа 1 таблицы"/>
    <w:basedOn w:val="S001"/>
    <w:qFormat/>
    <w:rsid w:val="009c31bd"/>
    <w:pPr>
      <w:keepNext w:val="true"/>
      <w:keepLines/>
      <w:widowControl/>
      <w:tabs>
        <w:tab w:val="clear" w:pos="709"/>
        <w:tab w:val="left" w:pos="304" w:leader="none"/>
      </w:tabs>
      <w:spacing w:before="20" w:after="0"/>
      <w:ind w:left="284" w:hanging="340"/>
      <w:jc w:val="left"/>
    </w:pPr>
    <w:rPr>
      <w:sz w:val="22"/>
    </w:rPr>
  </w:style>
  <w:style w:type="paragraph" w:styleId="S201" w:customStyle="1">
    <w:name w:val="s20 Заголовок"/>
    <w:link w:val="s200"/>
    <w:qFormat/>
    <w:rsid w:val="009c31bd"/>
    <w:pPr>
      <w:keepNext w:val="true"/>
      <w:keepLines/>
      <w:widowControl/>
      <w:bidi w:val="0"/>
      <w:spacing w:before="360" w:after="120"/>
      <w:jc w:val="center"/>
    </w:pPr>
    <w:rPr>
      <w:rFonts w:ascii="Times New Roman" w:hAnsi="Times New Roman" w:eastAsia="Times New Roman" w:cs="Times New Roman"/>
      <w:b/>
      <w:bCs/>
      <w:color w:val="auto"/>
      <w:kern w:val="0"/>
      <w:sz w:val="28"/>
      <w:szCs w:val="20"/>
      <w:lang w:val="ru-RU" w:eastAsia="ru-RU" w:bidi="ar-SA"/>
    </w:rPr>
  </w:style>
  <w:style w:type="paragraph" w:styleId="S15" w:customStyle="1">
    <w:name w:val="s15 Примеры"/>
    <w:qFormat/>
    <w:rsid w:val="009c31bd"/>
    <w:pPr>
      <w:widowControl/>
      <w:bidi w:val="0"/>
      <w:spacing w:before="0" w:after="0"/>
      <w:ind w:firstLine="340"/>
      <w:jc w:val="both"/>
    </w:pPr>
    <w:rPr>
      <w:rFonts w:ascii="Times New Roman" w:hAnsi="Times New Roman" w:eastAsia="Times New Roman" w:cs="Times New Roman"/>
      <w:i/>
      <w:iCs/>
      <w:color w:val="auto"/>
      <w:kern w:val="0"/>
      <w:sz w:val="22"/>
      <w:szCs w:val="20"/>
      <w:lang w:val="ru-RU" w:eastAsia="ru-RU" w:bidi="ar-SA"/>
    </w:rPr>
  </w:style>
  <w:style w:type="paragraph" w:styleId="S05" w:customStyle="1">
    <w:name w:val="s05 Пункт РАЗДЕЛА"/>
    <w:basedOn w:val="S02"/>
    <w:qFormat/>
    <w:rsid w:val="009c31bd"/>
    <w:pPr>
      <w:keepNext w:val="false"/>
      <w:keepLines w:val="false"/>
      <w:outlineLvl w:val="6"/>
    </w:pPr>
    <w:rPr>
      <w:b w:val="false"/>
    </w:rPr>
  </w:style>
  <w:style w:type="paragraph" w:styleId="Inhoudsopgave3">
    <w:name w:val="TOC 3"/>
    <w:basedOn w:val="Normal"/>
    <w:next w:val="Normal"/>
    <w:semiHidden/>
    <w:locked/>
    <w:rsid w:val="009c31bd"/>
    <w:pPr>
      <w:tabs>
        <w:tab w:val="clear" w:pos="709"/>
        <w:tab w:val="left" w:pos="360" w:leader="none"/>
        <w:tab w:val="right" w:pos="9356" w:leader="dot"/>
      </w:tabs>
      <w:spacing w:before="60" w:after="0"/>
      <w:ind w:right="340" w:hanging="0"/>
    </w:pPr>
    <w:rPr/>
  </w:style>
  <w:style w:type="paragraph" w:styleId="Voettekst">
    <w:name w:val="Footer"/>
    <w:basedOn w:val="Normal"/>
    <w:link w:val="FooterChar"/>
    <w:uiPriority w:val="99"/>
    <w:rsid w:val="009c31bd"/>
    <w:pPr>
      <w:tabs>
        <w:tab w:val="clear" w:pos="709"/>
        <w:tab w:val="center" w:pos="4677" w:leader="none"/>
        <w:tab w:val="right" w:pos="9355" w:leader="none"/>
      </w:tabs>
    </w:pPr>
    <w:rPr/>
  </w:style>
  <w:style w:type="paragraph" w:styleId="Voetnoot">
    <w:name w:val="Footnote Text"/>
    <w:basedOn w:val="Normal"/>
    <w:semiHidden/>
    <w:locked/>
    <w:rsid w:val="009c31bd"/>
    <w:pPr>
      <w:widowControl w:val="false"/>
      <w:overflowPunct w:val="true"/>
      <w:spacing w:before="60" w:after="0"/>
      <w:textAlignment w:val="baseline"/>
    </w:pPr>
    <w:rPr>
      <w:sz w:val="20"/>
      <w:szCs w:val="20"/>
    </w:rPr>
  </w:style>
  <w:style w:type="paragraph" w:styleId="Inhoudsopgave4">
    <w:name w:val="TOC 4"/>
    <w:basedOn w:val="Normal"/>
    <w:next w:val="Normal"/>
    <w:autoRedefine/>
    <w:semiHidden/>
    <w:locked/>
    <w:rsid w:val="009c31bd"/>
    <w:pPr>
      <w:widowControl w:val="false"/>
      <w:overflowPunct w:val="true"/>
      <w:spacing w:before="60" w:after="0"/>
      <w:ind w:left="720" w:hanging="0"/>
      <w:textAlignment w:val="baseline"/>
    </w:pPr>
    <w:rPr>
      <w:szCs w:val="20"/>
    </w:rPr>
  </w:style>
  <w:style w:type="paragraph" w:styleId="Inhoudsopgave5">
    <w:name w:val="TOC 5"/>
    <w:basedOn w:val="Normal"/>
    <w:next w:val="Normal"/>
    <w:autoRedefine/>
    <w:semiHidden/>
    <w:locked/>
    <w:rsid w:val="009c31bd"/>
    <w:pPr>
      <w:widowControl w:val="false"/>
      <w:overflowPunct w:val="true"/>
      <w:spacing w:before="60" w:after="0"/>
      <w:ind w:left="960" w:hanging="0"/>
      <w:textAlignment w:val="baseline"/>
    </w:pPr>
    <w:rPr>
      <w:szCs w:val="20"/>
    </w:rPr>
  </w:style>
  <w:style w:type="paragraph" w:styleId="Inhoudsopgave6">
    <w:name w:val="TOC 6"/>
    <w:basedOn w:val="Normal"/>
    <w:next w:val="Normal"/>
    <w:autoRedefine/>
    <w:semiHidden/>
    <w:locked/>
    <w:rsid w:val="009c31bd"/>
    <w:pPr>
      <w:widowControl w:val="false"/>
      <w:overflowPunct w:val="true"/>
      <w:spacing w:before="60" w:after="0"/>
      <w:ind w:left="1200" w:hanging="0"/>
      <w:textAlignment w:val="baseline"/>
    </w:pPr>
    <w:rPr>
      <w:szCs w:val="20"/>
    </w:rPr>
  </w:style>
  <w:style w:type="paragraph" w:styleId="Inhoudsopgave7">
    <w:name w:val="TOC 7"/>
    <w:basedOn w:val="Normal"/>
    <w:next w:val="Normal"/>
    <w:autoRedefine/>
    <w:semiHidden/>
    <w:locked/>
    <w:rsid w:val="009c31bd"/>
    <w:pPr>
      <w:widowControl w:val="false"/>
      <w:overflowPunct w:val="true"/>
      <w:spacing w:before="60" w:after="0"/>
      <w:ind w:left="1440" w:hanging="0"/>
      <w:textAlignment w:val="baseline"/>
    </w:pPr>
    <w:rPr>
      <w:szCs w:val="20"/>
    </w:rPr>
  </w:style>
  <w:style w:type="paragraph" w:styleId="Inhoudsopgave8">
    <w:name w:val="TOC 8"/>
    <w:basedOn w:val="Normal"/>
    <w:next w:val="Normal"/>
    <w:autoRedefine/>
    <w:semiHidden/>
    <w:locked/>
    <w:rsid w:val="009c31bd"/>
    <w:pPr>
      <w:widowControl w:val="false"/>
      <w:overflowPunct w:val="true"/>
      <w:spacing w:before="60" w:after="0"/>
      <w:ind w:left="1680" w:hanging="0"/>
      <w:textAlignment w:val="baseline"/>
    </w:pPr>
    <w:rPr>
      <w:szCs w:val="20"/>
    </w:rPr>
  </w:style>
  <w:style w:type="paragraph" w:styleId="Inhoudsopgave9">
    <w:name w:val="TOC 9"/>
    <w:basedOn w:val="Normal"/>
    <w:next w:val="Normal"/>
    <w:autoRedefine/>
    <w:semiHidden/>
    <w:locked/>
    <w:rsid w:val="009c31bd"/>
    <w:pPr>
      <w:widowControl w:val="false"/>
      <w:overflowPunct w:val="true"/>
      <w:spacing w:before="60" w:after="0"/>
      <w:ind w:left="1920" w:hanging="0"/>
      <w:textAlignment w:val="baseline"/>
    </w:pPr>
    <w:rPr>
      <w:szCs w:val="20"/>
    </w:rPr>
  </w:style>
  <w:style w:type="paragraph" w:styleId="Annotationtext">
    <w:name w:val="annotation text"/>
    <w:basedOn w:val="Normal"/>
    <w:link w:val="CommentTextChar"/>
    <w:semiHidden/>
    <w:qFormat/>
    <w:locked/>
    <w:rsid w:val="009c31bd"/>
    <w:pPr>
      <w:widowControl w:val="false"/>
      <w:overflowPunct w:val="true"/>
      <w:spacing w:before="60" w:after="0"/>
      <w:ind w:left="340" w:firstLine="511"/>
      <w:textAlignment w:val="baseline"/>
    </w:pPr>
    <w:rPr>
      <w:szCs w:val="20"/>
    </w:rPr>
  </w:style>
  <w:style w:type="paragraph" w:styleId="S25" w:customStyle="1">
    <w:name w:val="s25 приложение №"/>
    <w:basedOn w:val="S001"/>
    <w:qFormat/>
    <w:rsid w:val="009c31bd"/>
    <w:pPr>
      <w:jc w:val="center"/>
    </w:pPr>
    <w:rPr>
      <w:b/>
      <w:bCs/>
    </w:rPr>
  </w:style>
  <w:style w:type="paragraph" w:styleId="S29" w:customStyle="1">
    <w:name w:val="s29 библиография-Список"/>
    <w:basedOn w:val="S001"/>
    <w:qFormat/>
    <w:rsid w:val="009c31bd"/>
    <w:pPr>
      <w:tabs>
        <w:tab w:val="clear" w:pos="709"/>
        <w:tab w:val="left" w:pos="1040" w:leader="none"/>
      </w:tabs>
      <w:ind w:left="1040" w:hanging="1040"/>
    </w:pPr>
    <w:rPr/>
  </w:style>
  <w:style w:type="paragraph" w:styleId="S1311" w:customStyle="1">
    <w:name w:val="s13 графы таблицы &gt; 1"/>
    <w:basedOn w:val="S001"/>
    <w:link w:val="s1310"/>
    <w:qFormat/>
    <w:rsid w:val="009c31bd"/>
    <w:pPr>
      <w:keepNext w:val="true"/>
      <w:keepLines/>
      <w:widowControl/>
      <w:spacing w:before="20" w:after="0"/>
      <w:ind w:hanging="0"/>
      <w:jc w:val="left"/>
      <w:outlineLvl w:val="7"/>
    </w:pPr>
    <w:rPr>
      <w:sz w:val="22"/>
    </w:rPr>
  </w:style>
  <w:style w:type="paragraph" w:styleId="S10" w:customStyle="1">
    <w:name w:val="s10 заголовок таблицы"/>
    <w:basedOn w:val="S001"/>
    <w:qFormat/>
    <w:rsid w:val="009c31bd"/>
    <w:pPr>
      <w:keepNext w:val="true"/>
      <w:keepLines/>
      <w:widowControl/>
      <w:ind w:hanging="0"/>
    </w:pPr>
    <w:rPr/>
  </w:style>
  <w:style w:type="paragraph" w:styleId="S111" w:customStyle="1">
    <w:name w:val="s11 заголовки граф таблицы"/>
    <w:basedOn w:val="S10"/>
    <w:link w:val="s110"/>
    <w:qFormat/>
    <w:rsid w:val="009c31bd"/>
    <w:pPr>
      <w:spacing w:before="40" w:after="0"/>
      <w:jc w:val="left"/>
    </w:pPr>
    <w:rPr>
      <w:sz w:val="22"/>
    </w:rPr>
  </w:style>
  <w:style w:type="paragraph" w:styleId="S14a" w:customStyle="1">
    <w:name w:val="s14 табл.список a)"/>
    <w:basedOn w:val="S08"/>
    <w:qFormat/>
    <w:rsid w:val="009c31bd"/>
    <w:pPr>
      <w:keepNext w:val="true"/>
      <w:spacing w:before="20" w:after="0"/>
      <w:ind w:left="-56" w:firstLine="340"/>
      <w:outlineLvl w:val="8"/>
    </w:pPr>
    <w:rPr>
      <w:sz w:val="22"/>
    </w:rPr>
  </w:style>
  <w:style w:type="paragraph" w:styleId="S091" w:customStyle="1">
    <w:name w:val="s09 Список а1)"/>
    <w:basedOn w:val="Normal"/>
    <w:qFormat/>
    <w:rsid w:val="009c31bd"/>
    <w:pPr>
      <w:ind w:left="624" w:hanging="0"/>
    </w:pPr>
    <w:rPr/>
  </w:style>
  <w:style w:type="paragraph" w:styleId="S07" w:customStyle="1">
    <w:name w:val="s07 Список - -"/>
    <w:basedOn w:val="S06"/>
    <w:qFormat/>
    <w:rsid w:val="009c31bd"/>
    <w:pPr>
      <w:ind w:left="1037" w:hanging="357"/>
    </w:pPr>
    <w:rPr/>
  </w:style>
  <w:style w:type="paragraph" w:styleId="BalloonText">
    <w:name w:val="Balloon Text"/>
    <w:basedOn w:val="Normal"/>
    <w:semiHidden/>
    <w:qFormat/>
    <w:locked/>
    <w:rsid w:val="0064427c"/>
    <w:pPr/>
    <w:rPr>
      <w:rFonts w:ascii="Tahoma" w:hAnsi="Tahoma" w:cs="Tahoma"/>
      <w:sz w:val="16"/>
      <w:szCs w:val="16"/>
    </w:rPr>
  </w:style>
  <w:style w:type="paragraph" w:styleId="NormalWeb">
    <w:name w:val="Normal (Web)"/>
    <w:basedOn w:val="Normal"/>
    <w:qFormat/>
    <w:locked/>
    <w:rsid w:val="00d570db"/>
    <w:pPr>
      <w:spacing w:beforeAutospacing="1" w:afterAutospacing="1"/>
    </w:pPr>
    <w:rPr>
      <w:rFonts w:ascii="Verdana" w:hAnsi="Verdana"/>
      <w:sz w:val="20"/>
      <w:szCs w:val="20"/>
    </w:rPr>
  </w:style>
  <w:style w:type="paragraph" w:styleId="ListParagraph">
    <w:name w:val="List Paragraph"/>
    <w:basedOn w:val="Normal"/>
    <w:uiPriority w:val="34"/>
    <w:qFormat/>
    <w:rsid w:val="00d570db"/>
    <w:pPr>
      <w:spacing w:before="0" w:after="0"/>
      <w:ind w:left="720" w:hanging="0"/>
      <w:contextualSpacing/>
    </w:pPr>
    <w:rPr/>
  </w:style>
  <w:style w:type="paragraph" w:styleId="FR2" w:customStyle="1">
    <w:name w:val="FR2"/>
    <w:qFormat/>
    <w:rsid w:val="00a53db8"/>
    <w:pPr>
      <w:widowControl w:val="false"/>
      <w:overflowPunct w:val="true"/>
      <w:bidi w:val="0"/>
      <w:spacing w:lineRule="auto" w:line="300" w:before="0" w:after="0"/>
      <w:ind w:left="80" w:hanging="0"/>
      <w:jc w:val="center"/>
      <w:textAlignment w:val="baseline"/>
    </w:pPr>
    <w:rPr>
      <w:rFonts w:ascii="Times New Roman" w:hAnsi="Times New Roman" w:eastAsia="Times New Roman" w:cs="Times New Roman"/>
      <w:color w:val="auto"/>
      <w:kern w:val="0"/>
      <w:sz w:val="28"/>
      <w:szCs w:val="20"/>
      <w:lang w:val="ru-RU" w:eastAsia="ru-RU" w:bidi="ar-SA"/>
    </w:rPr>
  </w:style>
  <w:style w:type="paragraph" w:styleId="Annotationsubject">
    <w:name w:val="annotation subject"/>
    <w:basedOn w:val="Annotationtext"/>
    <w:next w:val="Annotationtext"/>
    <w:link w:val="CommentSubjectChar"/>
    <w:qFormat/>
    <w:locked/>
    <w:rsid w:val="007c1d93"/>
    <w:pPr>
      <w:widowControl/>
      <w:overflowPunct w:val="false"/>
      <w:spacing w:before="0" w:after="0"/>
      <w:ind w:left="0" w:hanging="0"/>
      <w:jc w:val="left"/>
      <w:textAlignment w:val="auto"/>
    </w:pPr>
    <w:rPr>
      <w:b/>
      <w:bCs/>
      <w:sz w:val="20"/>
    </w:rPr>
  </w:style>
  <w:style w:type="paragraph" w:styleId="05" w:customStyle="1">
    <w:name w:val="п05 Список -"/>
    <w:basedOn w:val="Normal"/>
    <w:qFormat/>
    <w:rsid w:val="00335f02"/>
    <w:pPr>
      <w:tabs>
        <w:tab w:val="clear" w:pos="709"/>
        <w:tab w:val="left" w:pos="700" w:leader="none"/>
        <w:tab w:val="left" w:pos="1134" w:leader="none"/>
      </w:tabs>
      <w:spacing w:before="60" w:after="0"/>
      <w:ind w:left="700" w:hanging="360"/>
      <w:outlineLvl w:val="2"/>
    </w:pPr>
    <w:rPr>
      <w:bCs/>
      <w:szCs w:val="20"/>
    </w:rPr>
  </w:style>
  <w:style w:type="paragraph" w:styleId="06" w:customStyle="1">
    <w:name w:val="п06 Список - -"/>
    <w:basedOn w:val="05"/>
    <w:qFormat/>
    <w:rsid w:val="00335f02"/>
    <w:pPr>
      <w:tabs>
        <w:tab w:val="clear" w:pos="700"/>
        <w:tab w:val="left" w:pos="1040" w:leader="none"/>
        <w:tab w:val="left" w:pos="1134" w:leader="none"/>
      </w:tabs>
      <w:ind w:left="1038" w:hanging="358"/>
    </w:pPr>
    <w:rPr/>
  </w:style>
  <w:style w:type="paragraph" w:styleId="00" w:customStyle="1">
    <w:name w:val="п00 Текст"/>
    <w:basedOn w:val="Normal"/>
    <w:qFormat/>
    <w:rsid w:val="00335f02"/>
    <w:pPr>
      <w:widowControl w:val="false"/>
      <w:overflowPunct w:val="true"/>
      <w:spacing w:before="60" w:after="0"/>
      <w:ind w:firstLine="340"/>
      <w:textAlignment w:val="baseline"/>
    </w:pPr>
    <w:rPr>
      <w:szCs w:val="20"/>
    </w:rPr>
  </w:style>
  <w:style w:type="paragraph" w:styleId="S141" w:customStyle="1">
    <w:name w:val="s14 табл.список 1."/>
    <w:basedOn w:val="S08"/>
    <w:qFormat/>
    <w:rsid w:val="008a2c90"/>
    <w:pPr>
      <w:keepNext w:val="true"/>
      <w:tabs>
        <w:tab w:val="left" w:pos="587" w:leader="none"/>
        <w:tab w:val="left" w:pos="851" w:leader="none"/>
        <w:tab w:val="left" w:pos="1004" w:leader="none"/>
      </w:tabs>
      <w:spacing w:before="20" w:after="0"/>
      <w:ind w:left="227" w:firstLine="340"/>
      <w:outlineLvl w:val="8"/>
    </w:pPr>
    <w:rPr>
      <w:sz w:val="22"/>
    </w:rPr>
  </w:style>
  <w:style w:type="paragraph" w:styleId="Titel">
    <w:name w:val="Title"/>
    <w:basedOn w:val="Normal"/>
    <w:link w:val="TitleChar"/>
    <w:qFormat/>
    <w:locked/>
    <w:rsid w:val="008a2c90"/>
    <w:pPr>
      <w:overflowPunct w:val="true"/>
      <w:spacing w:before="3360" w:after="0"/>
      <w:jc w:val="center"/>
      <w:textAlignment w:val="baseline"/>
    </w:pPr>
    <w:rPr>
      <w:sz w:val="40"/>
      <w:szCs w:val="20"/>
    </w:rPr>
  </w:style>
  <w:style w:type="paragraph" w:styleId="02" w:customStyle="1">
    <w:name w:val="п02 РАЗДЕЛ"/>
    <w:basedOn w:val="Normal"/>
    <w:next w:val="Normal"/>
    <w:qFormat/>
    <w:rsid w:val="00035ce5"/>
    <w:pPr>
      <w:keepNext w:val="true"/>
      <w:keepLines/>
      <w:tabs>
        <w:tab w:val="clear" w:pos="709"/>
        <w:tab w:val="left" w:pos="700" w:leader="none"/>
      </w:tabs>
      <w:spacing w:before="240" w:after="120"/>
      <w:ind w:firstLine="340"/>
      <w:outlineLvl w:val="0"/>
    </w:pPr>
    <w:rPr>
      <w:b/>
      <w:bCs/>
      <w:sz w:val="28"/>
      <w:szCs w:val="20"/>
    </w:rPr>
  </w:style>
  <w:style w:type="paragraph" w:styleId="03" w:customStyle="1">
    <w:name w:val="п03 подРАЗДЕЛ"/>
    <w:basedOn w:val="02"/>
    <w:next w:val="Normal"/>
    <w:qFormat/>
    <w:rsid w:val="00035ce5"/>
    <w:pPr>
      <w:tabs>
        <w:tab w:val="left" w:pos="700" w:leader="none"/>
        <w:tab w:val="left" w:pos="1134" w:leader="none"/>
      </w:tabs>
      <w:spacing w:before="60" w:after="0"/>
      <w:outlineLvl w:val="1"/>
    </w:pPr>
    <w:rPr>
      <w:b w:val="false"/>
      <w:sz w:val="24"/>
    </w:rPr>
  </w:style>
  <w:style w:type="numbering" w:styleId="NoList" w:default="1">
    <w:name w:val="No List"/>
    <w:uiPriority w:val="99"/>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table" w:styleId="TableGrid">
    <w:name w:val="Table Grid"/>
    <w:basedOn w:val="TableNormal"/>
    <w:rsid w:val="00ce4c3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Relationship Id="rId16"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3D6E69-7310-47E4-8745-457779D82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Ш-12.4.03-01-ПК</Template>
  <TotalTime>95</TotalTime>
  <Application>LibreOffice/7.1.5.2$Windows_X86_64 LibreOffice_project/85f04e9f809797b8199d13c421bd8a2b025d52b5</Application>
  <AppVersion>15.0000</AppVersion>
  <Pages>5</Pages>
  <Words>1055</Words>
  <Characters>6324</Characters>
  <CharactersWithSpaces>7267</CharactersWithSpaces>
  <Paragraphs>102</Paragraphs>
  <Company>SUEK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2013-10-22T09:02:00Z</dcterms:created>
  <dc:creator>KoshkinDK</dc:creator>
  <dc:description/>
  <dc:language>nl-NL</dc:language>
  <cp:lastModifiedBy>Erik Janssen</cp:lastModifiedBy>
  <cp:lastPrinted>2010-10-08T11:11:00Z</cp:lastPrinted>
  <dcterms:modified xsi:type="dcterms:W3CDTF">2021-09-16T15:22:58Z</dcterms:modified>
  <cp:revision>20</cp:revision>
  <dc:subject/>
  <dc:title>SUEK</dc:title>
</cp:coreProperties>
</file>

<file path=docProps/custom.xml><?xml version="1.0" encoding="utf-8"?>
<Properties xmlns="http://schemas.openxmlformats.org/officeDocument/2006/custom-properties" xmlns:vt="http://schemas.openxmlformats.org/officeDocument/2006/docPropsVTypes"/>
</file>