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1C" w:rsidRPr="0076741C" w:rsidRDefault="0076741C" w:rsidP="0076741C">
      <w:pPr>
        <w:rPr>
          <w:lang w:val="en-US" w:eastAsia="en-US"/>
        </w:rPr>
      </w:pPr>
      <w:r w:rsidRPr="0076741C">
        <w:rPr>
          <w:lang w:val="en-US" w:eastAsia="en-US"/>
        </w:rPr>
        <w:br/>
      </w:r>
    </w:p>
    <w:tbl>
      <w:tblPr>
        <w:tblW w:w="11220" w:type="dxa"/>
        <w:jc w:val="center"/>
        <w:tblCellSpacing w:w="15" w:type="dxa"/>
        <w:tblLayout w:type="fixed"/>
        <w:tblCellMar>
          <w:left w:w="0" w:type="dxa"/>
          <w:right w:w="0" w:type="dxa"/>
        </w:tblCellMar>
        <w:tblLook w:val="04A0" w:firstRow="1" w:lastRow="0" w:firstColumn="1" w:lastColumn="0" w:noHBand="0" w:noVBand="1"/>
      </w:tblPr>
      <w:tblGrid>
        <w:gridCol w:w="11220"/>
      </w:tblGrid>
      <w:tr w:rsidR="0076741C" w:rsidRPr="0076741C" w:rsidTr="0076741C">
        <w:trPr>
          <w:tblCellSpacing w:w="15" w:type="dxa"/>
          <w:jc w:val="center"/>
        </w:trPr>
        <w:tc>
          <w:tcPr>
            <w:tcW w:w="11154" w:type="dxa"/>
            <w:shd w:val="clear" w:color="auto" w:fill="FFFFFF"/>
            <w:vAlign w:val="center"/>
            <w:hideMark/>
          </w:tcPr>
          <w:tbl>
            <w:tblPr>
              <w:tblW w:w="5000"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2624"/>
              <w:gridCol w:w="3979"/>
              <w:gridCol w:w="2001"/>
              <w:gridCol w:w="2556"/>
            </w:tblGrid>
            <w:tr w:rsidR="0076741C" w:rsidRPr="0076741C">
              <w:trPr>
                <w:tblCellSpacing w:w="7" w:type="dxa"/>
              </w:trPr>
              <w:tc>
                <w:tcPr>
                  <w:tcW w:w="11147" w:type="dxa"/>
                  <w:gridSpan w:val="4"/>
                  <w:shd w:val="clear" w:color="auto" w:fill="E0EBF5"/>
                  <w:vAlign w:val="center"/>
                  <w:hideMark/>
                </w:tcPr>
                <w:tbl>
                  <w:tblPr>
                    <w:tblpPr w:leftFromText="141" w:rightFromText="141" w:vertAnchor="page" w:horzAnchor="margin" w:tblpXSpec="center" w:tblpY="1"/>
                    <w:tblOverlap w:val="never"/>
                    <w:tblW w:w="10830" w:type="dxa"/>
                    <w:tblCellSpacing w:w="7" w:type="dxa"/>
                    <w:shd w:val="clear" w:color="auto" w:fill="E0EBF5"/>
                    <w:tblLayout w:type="fixed"/>
                    <w:tblCellMar>
                      <w:left w:w="0" w:type="dxa"/>
                      <w:right w:w="0" w:type="dxa"/>
                    </w:tblCellMar>
                    <w:tblLook w:val="04A0" w:firstRow="1" w:lastRow="0" w:firstColumn="1" w:lastColumn="0" w:noHBand="0" w:noVBand="1"/>
                  </w:tblPr>
                  <w:tblGrid>
                    <w:gridCol w:w="10830"/>
                  </w:tblGrid>
                  <w:tr w:rsidR="0076741C" w:rsidRPr="0076741C">
                    <w:trPr>
                      <w:trHeight w:val="1234"/>
                      <w:tblCellSpacing w:w="7" w:type="dxa"/>
                    </w:trPr>
                    <w:tc>
                      <w:tcPr>
                        <w:tcW w:w="10797" w:type="dxa"/>
                        <w:shd w:val="clear" w:color="auto" w:fill="auto"/>
                        <w:vAlign w:val="center"/>
                        <w:hideMark/>
                      </w:tcPr>
                      <w:p w:rsidR="0076741C" w:rsidRPr="0076741C" w:rsidRDefault="0076741C" w:rsidP="0076741C">
                        <w:pPr>
                          <w:spacing w:before="100" w:beforeAutospacing="1" w:after="100" w:afterAutospacing="1"/>
                          <w:jc w:val="center"/>
                          <w:outlineLvl w:val="0"/>
                          <w:rPr>
                            <w:b/>
                            <w:bCs/>
                            <w:kern w:val="36"/>
                            <w:sz w:val="48"/>
                            <w:szCs w:val="48"/>
                            <w:lang w:val="en-US" w:eastAsia="en-US"/>
                          </w:rPr>
                        </w:pPr>
                        <w:r w:rsidRPr="0076741C">
                          <w:rPr>
                            <w:rFonts w:ascii="Calibri" w:hAnsi="Calibri" w:cs="Calibri"/>
                            <w:b/>
                            <w:smallCaps/>
                            <w:color w:val="28466E"/>
                            <w:kern w:val="36"/>
                            <w:sz w:val="48"/>
                            <w:szCs w:val="48"/>
                            <w:lang w:eastAsia="en-US"/>
                          </w:rPr>
                          <w:t>China Sustainable Finance Newsletter</w:t>
                        </w:r>
                      </w:p>
                    </w:tc>
                  </w:tr>
                </w:tbl>
                <w:p w:rsidR="0076741C" w:rsidRPr="0076741C" w:rsidRDefault="0076741C" w:rsidP="0076741C">
                  <w:pPr>
                    <w:rPr>
                      <w:lang w:val="en-US" w:eastAsia="en-US"/>
                    </w:rPr>
                  </w:pPr>
                </w:p>
              </w:tc>
            </w:tr>
            <w:tr w:rsidR="0076741C" w:rsidRPr="0076741C">
              <w:trPr>
                <w:tblCellSpacing w:w="7" w:type="dxa"/>
              </w:trPr>
              <w:tc>
                <w:tcPr>
                  <w:tcW w:w="2607" w:type="dxa"/>
                  <w:shd w:val="clear" w:color="auto" w:fill="E0EBF5"/>
                  <w:vAlign w:val="center"/>
                  <w:hideMark/>
                </w:tcPr>
                <w:p w:rsidR="0076741C" w:rsidRPr="0076741C" w:rsidRDefault="0076741C" w:rsidP="0076741C">
                  <w:pPr>
                    <w:spacing w:before="100" w:beforeAutospacing="1" w:after="100" w:afterAutospacing="1"/>
                    <w:ind w:left="567"/>
                    <w:rPr>
                      <w:lang w:val="en-US" w:eastAsia="en-US"/>
                    </w:rPr>
                  </w:pPr>
                  <w:r w:rsidRPr="0076741C">
                    <w:rPr>
                      <w:rFonts w:ascii="Calibri" w:hAnsi="Calibri" w:cs="Calibri"/>
                      <w:b/>
                      <w:bCs/>
                      <w:sz w:val="28"/>
                      <w:szCs w:val="28"/>
                      <w:lang w:val="en-US" w:eastAsia="en-US"/>
                    </w:rPr>
                    <w:t>Issue #14</w:t>
                  </w:r>
                </w:p>
              </w:tc>
              <w:tc>
                <w:tcPr>
                  <w:tcW w:w="3970" w:type="dxa"/>
                  <w:shd w:val="clear" w:color="auto" w:fill="E0EBF5"/>
                  <w:hideMark/>
                </w:tcPr>
                <w:p w:rsidR="0076741C" w:rsidRPr="0076741C" w:rsidRDefault="0076741C" w:rsidP="0076741C">
                  <w:pPr>
                    <w:spacing w:before="100" w:beforeAutospacing="1" w:after="100" w:afterAutospacing="1"/>
                    <w:jc w:val="center"/>
                    <w:rPr>
                      <w:lang w:val="en-US" w:eastAsia="en-US"/>
                    </w:rPr>
                  </w:pPr>
                  <w:r>
                    <w:rPr>
                      <w:rFonts w:ascii="Calibri" w:hAnsi="Calibri" w:cs="Calibri"/>
                      <w:noProof/>
                      <w:lang w:val="en-US" w:eastAsia="en-US"/>
                    </w:rPr>
                    <mc:AlternateContent>
                      <mc:Choice Requires="wps">
                        <w:drawing>
                          <wp:inline distT="0" distB="0" distL="0" distR="0">
                            <wp:extent cx="2466975" cy="371475"/>
                            <wp:effectExtent l="0" t="0" r="0" b="0"/>
                            <wp:docPr id="4" name="Rectangle 4" descr="Description: iaza15681929018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69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Description: iaza15681929018300" style="width:194.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" filled="f" stroked="f">
                            <o:lock v:ext="edit" aspectratio="t"/>
                            <w10:anchorlock/>
                          </v:rect>
                        </w:pict>
                      </mc:Fallback>
                    </mc:AlternateContent>
                  </w:r>
                </w:p>
              </w:tc>
              <w:tc>
                <w:tcPr>
                  <w:tcW w:w="1990" w:type="dxa"/>
                  <w:shd w:val="clear" w:color="auto" w:fill="E0EBF5"/>
                  <w:vAlign w:val="center"/>
                  <w:hideMark/>
                </w:tcPr>
                <w:p w:rsidR="0076741C" w:rsidRPr="0076741C" w:rsidRDefault="0076741C" w:rsidP="0076741C">
                  <w:pPr>
                    <w:spacing w:before="100" w:beforeAutospacing="1" w:after="100" w:afterAutospacing="1"/>
                    <w:rPr>
                      <w:lang w:val="en-US" w:eastAsia="en-US"/>
                    </w:rPr>
                  </w:pPr>
                  <w:r>
                    <w:rPr>
                      <w:rFonts w:ascii="Calibri" w:hAnsi="Calibri" w:cs="Calibri"/>
                      <w:noProof/>
                      <w:lang w:val="en-US" w:eastAsia="en-US"/>
                    </w:rPr>
                    <mc:AlternateContent>
                      <mc:Choice Requires="wps">
                        <w:drawing>
                          <wp:inline distT="0" distB="0" distL="0" distR="0">
                            <wp:extent cx="1133475" cy="371475"/>
                            <wp:effectExtent l="0" t="0" r="0" b="0"/>
                            <wp:docPr id="3" name="Rectangle 3" descr="Description: FO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escription: FOEa" style="width:8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" filled="f" stroked="f">
                            <o:lock v:ext="edit" aspectratio="t"/>
                            <w10:anchorlock/>
                          </v:rect>
                        </w:pict>
                      </mc:Fallback>
                    </mc:AlternateContent>
                  </w:r>
                </w:p>
              </w:tc>
              <w:tc>
                <w:tcPr>
                  <w:tcW w:w="2538" w:type="dxa"/>
                  <w:shd w:val="clear" w:color="auto" w:fill="E0EBF5"/>
                  <w:vAlign w:val="center"/>
                  <w:hideMark/>
                </w:tcPr>
                <w:p w:rsidR="0076741C" w:rsidRPr="0076741C" w:rsidRDefault="0076741C" w:rsidP="0076741C">
                  <w:pPr>
                    <w:spacing w:before="100" w:beforeAutospacing="1" w:after="100" w:afterAutospacing="1"/>
                    <w:ind w:right="567"/>
                    <w:jc w:val="right"/>
                    <w:rPr>
                      <w:lang w:val="en-US" w:eastAsia="en-US"/>
                    </w:rPr>
                  </w:pPr>
                  <w:r w:rsidRPr="0076741C">
                    <w:rPr>
                      <w:rFonts w:ascii="Calibri" w:hAnsi="Calibri" w:cs="Calibri"/>
                      <w:b/>
                      <w:bCs/>
                      <w:sz w:val="28"/>
                      <w:szCs w:val="28"/>
                      <w:lang w:val="en-US" w:eastAsia="en-US"/>
                    </w:rPr>
                    <w:t>April 26, 2012</w:t>
                  </w:r>
                  <w:r w:rsidRPr="0076741C">
                    <w:rPr>
                      <w:rFonts w:ascii="Calibri" w:hAnsi="Calibri" w:cs="Calibri"/>
                      <w:sz w:val="28"/>
                      <w:szCs w:val="28"/>
                      <w:lang w:eastAsia="en-US"/>
                    </w:rPr>
                    <w:t xml:space="preserve"> </w:t>
                  </w:r>
                </w:p>
              </w:tc>
            </w:tr>
          </w:tbl>
          <w:p w:rsidR="0076741C" w:rsidRPr="0076741C" w:rsidRDefault="0076741C" w:rsidP="0076741C">
            <w:pPr>
              <w:rPr>
                <w:lang w:val="en-US" w:eastAsia="en-US"/>
              </w:rPr>
            </w:pPr>
          </w:p>
        </w:tc>
      </w:tr>
      <w:tr w:rsidR="0076741C" w:rsidRPr="00F06D70" w:rsidTr="0076741C">
        <w:trPr>
          <w:tblCellSpacing w:w="15" w:type="dxa"/>
          <w:jc w:val="center"/>
        </w:trPr>
        <w:tc>
          <w:tcPr>
            <w:tcW w:w="11154" w:type="dxa"/>
            <w:shd w:val="clear" w:color="auto" w:fill="FFFFFF"/>
            <w:vAlign w:val="center"/>
            <w:hideMark/>
          </w:tcPr>
          <w:tbl>
            <w:tblPr>
              <w:tblW w:w="10770" w:type="dxa"/>
              <w:tblCellSpacing w:w="0" w:type="dxa"/>
              <w:tblLayout w:type="fixed"/>
              <w:tblCellMar>
                <w:top w:w="300" w:type="dxa"/>
                <w:left w:w="300" w:type="dxa"/>
                <w:bottom w:w="300" w:type="dxa"/>
                <w:right w:w="300" w:type="dxa"/>
              </w:tblCellMar>
              <w:tblLook w:val="04A0" w:firstRow="1" w:lastRow="0" w:firstColumn="1" w:lastColumn="0" w:noHBand="0" w:noVBand="1"/>
            </w:tblPr>
            <w:tblGrid>
              <w:gridCol w:w="10770"/>
            </w:tblGrid>
            <w:tr w:rsidR="0076741C" w:rsidRPr="00F06D70">
              <w:trPr>
                <w:tblCellSpacing w:w="0" w:type="dxa"/>
              </w:trPr>
              <w:tc>
                <w:tcPr>
                  <w:tcW w:w="5000" w:type="pct"/>
                  <w:hideMark/>
                </w:tcPr>
                <w:tbl>
                  <w:tblPr>
                    <w:tblW w:w="10560" w:type="dxa"/>
                    <w:shd w:val="clear" w:color="auto" w:fill="E0EBF5"/>
                    <w:tblLayout w:type="fixed"/>
                    <w:tblCellMar>
                      <w:left w:w="0" w:type="dxa"/>
                      <w:right w:w="0" w:type="dxa"/>
                    </w:tblCellMar>
                    <w:tblLook w:val="04A0" w:firstRow="1" w:lastRow="0" w:firstColumn="1" w:lastColumn="0" w:noHBand="0" w:noVBand="1"/>
                  </w:tblPr>
                  <w:tblGrid>
                    <w:gridCol w:w="10560"/>
                  </w:tblGrid>
                  <w:tr w:rsidR="0076741C" w:rsidRPr="00F06D70">
                    <w:trPr>
                      <w:trHeight w:val="1438"/>
                    </w:trPr>
                    <w:tc>
                      <w:tcPr>
                        <w:tcW w:w="10554" w:type="dxa"/>
                        <w:shd w:val="clear" w:color="auto" w:fill="EFF5FA"/>
                        <w:hideMark/>
                      </w:tcPr>
                      <w:p w:rsidR="0076741C" w:rsidRPr="0076741C" w:rsidRDefault="0076741C" w:rsidP="0076741C">
                        <w:pPr>
                          <w:spacing w:before="120"/>
                          <w:ind w:left="170" w:right="170"/>
                          <w:rPr>
                            <w:lang w:val="en-US" w:eastAsia="en-US"/>
                          </w:rPr>
                        </w:pPr>
                        <w:r w:rsidRPr="0076741C">
                          <w:rPr>
                            <w:rFonts w:ascii="Calibri" w:hAnsi="Calibri" w:cs="Arial"/>
                            <w:b/>
                            <w:color w:val="28466E"/>
                            <w:lang w:val="en-US" w:eastAsia="en-US"/>
                          </w:rPr>
                          <w:t>This is the quarterly newsletter following developments in sustainable finance in China.  It offers updates on what Chinese banks, stock markets, government regulatory departments, civil society and international stakeholders are doing to promote sustainable finance initiatives for China’s financial sector.  We invite these stakeholders to read the below updates and contribute their own information on relevant sustainable finance work in China.</w:t>
                        </w:r>
                      </w:p>
                    </w:tc>
                  </w:tr>
                  <w:tr w:rsidR="0076741C" w:rsidRPr="00F06D70">
                    <w:trPr>
                      <w:trHeight w:val="1170"/>
                    </w:trPr>
                    <w:tc>
                      <w:tcPr>
                        <w:tcW w:w="10554" w:type="dxa"/>
                        <w:shd w:val="clear" w:color="auto" w:fill="EFF5FA"/>
                        <w:hideMark/>
                      </w:tcPr>
                      <w:p w:rsidR="0076741C" w:rsidRPr="0076741C" w:rsidRDefault="0076741C" w:rsidP="0076741C">
                        <w:pPr>
                          <w:spacing w:before="120"/>
                          <w:ind w:left="170" w:right="170"/>
                          <w:rPr>
                            <w:lang w:val="en-US" w:eastAsia="en-US"/>
                          </w:rPr>
                        </w:pPr>
                        <w:r w:rsidRPr="0076741C">
                          <w:rPr>
                            <w:rFonts w:ascii="Calibri" w:hAnsi="Calibri" w:cs="Arial"/>
                            <w:color w:val="28466E"/>
                            <w:lang w:val="en-US" w:eastAsia="en-US"/>
                          </w:rPr>
                          <w:t xml:space="preserve">We hope you find this update useful to your work and encourage you to send any feedback to </w:t>
                        </w:r>
                        <w:hyperlink r:id="rId5" w:history="1">
                          <w:r w:rsidRPr="0076741C">
                            <w:rPr>
                              <w:rFonts w:ascii="Calibri" w:hAnsi="Calibri" w:cs="Arial"/>
                              <w:lang w:val="en-US" w:eastAsia="en-US"/>
                            </w:rPr>
                            <w:t>Michelle Chan</w:t>
                          </w:r>
                        </w:hyperlink>
                        <w:r w:rsidRPr="0076741C">
                          <w:rPr>
                            <w:rFonts w:ascii="Calibri" w:hAnsi="Calibri" w:cs="Arial"/>
                            <w:color w:val="28466E"/>
                            <w:lang w:val="en-US" w:eastAsia="en-US"/>
                          </w:rPr>
                          <w:t>.</w:t>
                        </w:r>
                      </w:p>
                    </w:tc>
                  </w:tr>
                  <w:tr w:rsidR="0076741C" w:rsidRPr="00F06D70">
                    <w:trPr>
                      <w:trHeight w:val="1907"/>
                    </w:trPr>
                    <w:tc>
                      <w:tcPr>
                        <w:tcW w:w="10554" w:type="dxa"/>
                        <w:shd w:val="clear" w:color="auto" w:fill="EFF5FA"/>
                        <w:hideMark/>
                      </w:tcPr>
                      <w:p w:rsidR="0076741C" w:rsidRPr="0076741C" w:rsidRDefault="0076741C" w:rsidP="0076741C">
                        <w:pPr>
                          <w:spacing w:before="100" w:beforeAutospacing="1" w:after="100" w:afterAutospacing="1"/>
                          <w:rPr>
                            <w:lang w:val="en-US" w:eastAsia="en-US"/>
                          </w:rPr>
                        </w:pPr>
                        <w:r w:rsidRPr="0076741C">
                          <w:rPr>
                            <w:rFonts w:ascii="Calibri" w:hAnsi="Calibri" w:cs="Arial"/>
                            <w:b/>
                            <w:color w:val="28466E"/>
                            <w:sz w:val="32"/>
                            <w:szCs w:val="32"/>
                            <w:lang w:val="en-US" w:eastAsia="en-US"/>
                          </w:rPr>
                          <w:t xml:space="preserve">    In this issue</w:t>
                        </w:r>
                      </w:p>
                      <w:p w:rsidR="0076741C" w:rsidRPr="0076741C" w:rsidRDefault="0076741C" w:rsidP="0076741C">
                        <w:pPr>
                          <w:spacing w:before="100" w:beforeAutospacing="1" w:after="100" w:afterAutospacing="1"/>
                          <w:rPr>
                            <w:lang w:val="en-US" w:eastAsia="en-US"/>
                          </w:rPr>
                        </w:pPr>
                        <w:r w:rsidRPr="0076741C">
                          <w:rPr>
                            <w:lang w:val="en-US" w:eastAsia="en-US"/>
                          </w:rPr>
                          <w:t> </w:t>
                        </w:r>
                      </w:p>
                      <w:p w:rsidR="0076741C" w:rsidRPr="0076741C" w:rsidRDefault="0076741C" w:rsidP="0076741C">
                        <w:pPr>
                          <w:tabs>
                            <w:tab w:val="right" w:leader="dot" w:pos="9062"/>
                          </w:tabs>
                          <w:ind w:left="284" w:right="284" w:firstLine="214"/>
                          <w:rPr>
                            <w:lang w:val="en-US" w:eastAsia="en-US"/>
                          </w:rPr>
                        </w:pPr>
                        <w:r w:rsidRPr="0076741C">
                          <w:rPr>
                            <w:lang w:eastAsia="en-US"/>
                          </w:rPr>
                          <w:fldChar w:fldCharType="begin"/>
                        </w:r>
                        <w:r w:rsidRPr="0076741C">
                          <w:rPr>
                            <w:lang w:val="en-US" w:eastAsia="en-US"/>
                          </w:rPr>
                          <w:instrText xml:space="preserve"> HYPERLINK "mailbox://C:/Documents%20and%20Settings/Gebruiker/Application%20Data/Thunderbird/Profiles/2bszv2lu.default/Mail/mail.nivohost.com/Sent?number=192274227" \l "_Toc313578780" </w:instrText>
                        </w:r>
                        <w:r w:rsidRPr="0076741C">
                          <w:rPr>
                            <w:lang w:eastAsia="en-US"/>
                          </w:rPr>
                          <w:fldChar w:fldCharType="separate"/>
                        </w:r>
                        <w:r w:rsidRPr="0076741C">
                          <w:rPr>
                            <w:rFonts w:ascii="Calibri" w:hAnsi="Calibri" w:cs="Calibri"/>
                            <w:lang w:val="en-US" w:eastAsia="en-US"/>
                          </w:rPr>
                          <w:t>Sustainability in China’s financial sector</w:t>
                        </w:r>
                        <w:r w:rsidRPr="0076741C">
                          <w:rPr>
                            <w:lang w:eastAsia="en-US"/>
                          </w:rPr>
                          <w:fldChar w:fldCharType="end"/>
                        </w:r>
                      </w:p>
                      <w:p w:rsidR="0076741C" w:rsidRPr="0076741C" w:rsidRDefault="0076741C" w:rsidP="0076741C">
                        <w:pPr>
                          <w:ind w:left="284" w:right="284"/>
                          <w:rPr>
                            <w:lang w:val="en-US" w:eastAsia="en-US"/>
                          </w:rPr>
                        </w:pPr>
                        <w:r w:rsidRPr="0076741C">
                          <w:rPr>
                            <w:rFonts w:ascii="Calibri" w:hAnsi="Calibri" w:cs="Calibri"/>
                            <w:lang w:val="en-GB" w:eastAsia="en-US"/>
                          </w:rPr>
                          <w:t>1. Chinese banks report on sustainability in 2011</w:t>
                        </w:r>
                      </w:p>
                      <w:p w:rsidR="0076741C" w:rsidRPr="0076741C" w:rsidRDefault="0076741C" w:rsidP="0076741C">
                        <w:pPr>
                          <w:ind w:left="284" w:right="284"/>
                          <w:rPr>
                            <w:lang w:val="en-US" w:eastAsia="en-US"/>
                          </w:rPr>
                        </w:pPr>
                        <w:r w:rsidRPr="0076741C">
                          <w:rPr>
                            <w:rFonts w:ascii="Calibri" w:hAnsi="Calibri" w:cs="Calibri"/>
                            <w:lang w:val="en-GB" w:eastAsia="en-US"/>
                          </w:rPr>
                          <w:t>2. CDB lending to renewable energy companies</w:t>
                        </w:r>
                      </w:p>
                      <w:p w:rsidR="0076741C" w:rsidRPr="0076741C" w:rsidRDefault="0076741C" w:rsidP="0076741C">
                        <w:pPr>
                          <w:ind w:left="284" w:right="284"/>
                          <w:rPr>
                            <w:lang w:val="en-US" w:eastAsia="en-US"/>
                          </w:rPr>
                        </w:pPr>
                        <w:r w:rsidRPr="0076741C">
                          <w:rPr>
                            <w:rFonts w:ascii="Calibri" w:hAnsi="Calibri" w:cs="Calibri"/>
                            <w:lang w:val="en-GB" w:eastAsia="en-US"/>
                          </w:rPr>
                          <w:t>3. New report highlights Chinese lending to unsustainable extractive projects in Latin America</w:t>
                        </w:r>
                      </w:p>
                      <w:p w:rsidR="0076741C" w:rsidRPr="0076741C" w:rsidRDefault="0076741C" w:rsidP="0076741C">
                        <w:pPr>
                          <w:ind w:left="284" w:right="284"/>
                          <w:rPr>
                            <w:lang w:val="en-US" w:eastAsia="en-US"/>
                          </w:rPr>
                        </w:pPr>
                        <w:r w:rsidRPr="0076741C">
                          <w:rPr>
                            <w:rFonts w:ascii="Calibri" w:hAnsi="Calibri" w:cs="Calibri"/>
                            <w:lang w:val="en-GB" w:eastAsia="en-US"/>
                          </w:rPr>
                          <w:t> </w:t>
                        </w:r>
                      </w:p>
                      <w:p w:rsidR="0076741C" w:rsidRPr="0076741C" w:rsidRDefault="0076741C" w:rsidP="0076741C">
                        <w:pPr>
                          <w:tabs>
                            <w:tab w:val="right" w:leader="dot" w:pos="9062"/>
                          </w:tabs>
                          <w:ind w:left="284" w:right="284" w:firstLine="214"/>
                          <w:rPr>
                            <w:lang w:val="en-US" w:eastAsia="en-US"/>
                          </w:rPr>
                        </w:pPr>
                        <w:r w:rsidRPr="0076741C">
                          <w:rPr>
                            <w:lang w:eastAsia="en-US"/>
                          </w:rPr>
                          <w:fldChar w:fldCharType="begin"/>
                        </w:r>
                        <w:r w:rsidRPr="0076741C">
                          <w:rPr>
                            <w:lang w:val="en-US" w:eastAsia="en-US"/>
                          </w:rPr>
                          <w:instrText xml:space="preserve"> HYPERLINK "mailbox://C:/Documents%20and%20Settings/Gebruiker/Application%20Data/Thunderbird/Profiles/2bszv2lu.default/Mail/mail.nivohost.com/Sent?number=192274227" \l "_Toc313578781" </w:instrText>
                        </w:r>
                        <w:r w:rsidRPr="0076741C">
                          <w:rPr>
                            <w:lang w:eastAsia="en-US"/>
                          </w:rPr>
                          <w:fldChar w:fldCharType="separate"/>
                        </w:r>
                        <w:r w:rsidRPr="0076741C">
                          <w:rPr>
                            <w:rFonts w:ascii="Calibri" w:hAnsi="Calibri" w:cs="Calibri"/>
                            <w:color w:val="0000FF"/>
                            <w:u w:val="single"/>
                            <w:lang w:val="en-GB" w:eastAsia="en-US"/>
                          </w:rPr>
                          <w:t>Policy developments</w:t>
                        </w:r>
                        <w:r w:rsidRPr="0076741C">
                          <w:rPr>
                            <w:lang w:eastAsia="en-US"/>
                          </w:rPr>
                          <w:fldChar w:fldCharType="end"/>
                        </w:r>
                        <w:r w:rsidRPr="0076741C">
                          <w:rPr>
                            <w:rFonts w:ascii="Calibri" w:hAnsi="Calibri" w:cs="Calibri"/>
                            <w:lang w:val="en-GB" w:eastAsia="en-US"/>
                          </w:rPr>
                          <w:t xml:space="preserve"> </w:t>
                        </w:r>
                      </w:p>
                      <w:p w:rsidR="0076741C" w:rsidRPr="0076741C" w:rsidRDefault="0076741C" w:rsidP="0076741C">
                        <w:pPr>
                          <w:tabs>
                            <w:tab w:val="right" w:leader="dot" w:pos="9062"/>
                          </w:tabs>
                          <w:ind w:left="284" w:right="284"/>
                          <w:rPr>
                            <w:lang w:val="en-US" w:eastAsia="en-US"/>
                          </w:rPr>
                        </w:pPr>
                        <w:r w:rsidRPr="0076741C">
                          <w:rPr>
                            <w:rFonts w:ascii="Calibri" w:hAnsi="Calibri" w:cs="Calibri"/>
                            <w:lang w:val="en-GB" w:eastAsia="en-US"/>
                          </w:rPr>
                          <w:t>4. CBRC releases Green Credit Guidelines</w:t>
                        </w:r>
                      </w:p>
                      <w:p w:rsidR="0076741C" w:rsidRPr="0076741C" w:rsidRDefault="0076741C" w:rsidP="0076741C">
                        <w:pPr>
                          <w:ind w:left="284" w:right="284"/>
                          <w:rPr>
                            <w:lang w:val="en-US" w:eastAsia="en-US"/>
                          </w:rPr>
                        </w:pPr>
                        <w:r w:rsidRPr="0076741C">
                          <w:rPr>
                            <w:rFonts w:ascii="Calibri" w:hAnsi="Calibri" w:cs="Calibri"/>
                            <w:lang w:val="en-GB" w:eastAsia="en-US"/>
                          </w:rPr>
                          <w:t>5. CSRC moves to improve information disclosure</w:t>
                        </w:r>
                      </w:p>
                      <w:p w:rsidR="0076741C" w:rsidRPr="0076741C" w:rsidRDefault="0076741C" w:rsidP="0076741C">
                        <w:pPr>
                          <w:ind w:left="284" w:right="284"/>
                          <w:rPr>
                            <w:lang w:val="en-US" w:eastAsia="en-US"/>
                          </w:rPr>
                        </w:pPr>
                        <w:r w:rsidRPr="0076741C">
                          <w:rPr>
                            <w:rFonts w:ascii="Calibri" w:hAnsi="Calibri" w:cs="Calibri"/>
                            <w:lang w:val="en-GB" w:eastAsia="en-US"/>
                          </w:rPr>
                          <w:t> </w:t>
                        </w:r>
                      </w:p>
                      <w:p w:rsidR="0076741C" w:rsidRPr="0076741C" w:rsidRDefault="0076741C" w:rsidP="0076741C">
                        <w:pPr>
                          <w:tabs>
                            <w:tab w:val="right" w:leader="dot" w:pos="9062"/>
                          </w:tabs>
                          <w:ind w:left="284" w:right="284" w:firstLine="214"/>
                          <w:rPr>
                            <w:lang w:val="en-US" w:eastAsia="en-US"/>
                          </w:rPr>
                        </w:pPr>
                        <w:r w:rsidRPr="0076741C">
                          <w:rPr>
                            <w:lang w:eastAsia="en-US"/>
                          </w:rPr>
                          <w:fldChar w:fldCharType="begin"/>
                        </w:r>
                        <w:r w:rsidRPr="0076741C">
                          <w:rPr>
                            <w:lang w:val="en-US" w:eastAsia="en-US"/>
                          </w:rPr>
                          <w:instrText xml:space="preserve"> HYPERLINK "mailbox://C:/Documents%20and%20Settings/Gebruiker/Application%20Data/Thunderbird/Profiles/2bszv2lu.default/Mail/mail.nivohost.com/Sent?number=192274227" \l "_Toc313578782" </w:instrText>
                        </w:r>
                        <w:r w:rsidRPr="0076741C">
                          <w:rPr>
                            <w:lang w:eastAsia="en-US"/>
                          </w:rPr>
                          <w:fldChar w:fldCharType="separate"/>
                        </w:r>
                        <w:r w:rsidRPr="0076741C">
                          <w:rPr>
                            <w:rFonts w:ascii="Calibri" w:hAnsi="Calibri" w:cs="Calibri"/>
                            <w:noProof/>
                            <w:color w:val="0000FF"/>
                            <w:u w:val="single"/>
                            <w:lang w:val="en-US" w:eastAsia="en-US"/>
                          </w:rPr>
                          <w:t>Civil society activities</w:t>
                        </w:r>
                        <w:r w:rsidRPr="0076741C">
                          <w:rPr>
                            <w:lang w:eastAsia="en-US"/>
                          </w:rPr>
                          <w:fldChar w:fldCharType="end"/>
                        </w:r>
                      </w:p>
                      <w:p w:rsidR="0076741C" w:rsidRPr="0076741C" w:rsidRDefault="0076741C" w:rsidP="0076741C">
                        <w:pPr>
                          <w:ind w:left="284" w:right="284"/>
                          <w:rPr>
                            <w:lang w:val="en-US" w:eastAsia="en-US"/>
                          </w:rPr>
                        </w:pPr>
                        <w:r w:rsidRPr="0076741C">
                          <w:rPr>
                            <w:rFonts w:ascii="Calibri" w:hAnsi="Calibri" w:cs="Calibri"/>
                            <w:lang w:val="en-US" w:eastAsia="en-US"/>
                          </w:rPr>
                          <w:t>6. Chinese NGOs release third annual benchmarking of Chinese listed banks</w:t>
                        </w:r>
                      </w:p>
                      <w:p w:rsidR="0076741C" w:rsidRPr="0076741C" w:rsidRDefault="0076741C" w:rsidP="0076741C">
                        <w:pPr>
                          <w:ind w:left="284" w:right="284"/>
                          <w:rPr>
                            <w:lang w:val="en-US" w:eastAsia="en-US"/>
                          </w:rPr>
                        </w:pPr>
                        <w:r w:rsidRPr="0076741C">
                          <w:rPr>
                            <w:rFonts w:ascii="Calibri" w:hAnsi="Calibri" w:cs="Calibri"/>
                            <w:lang w:val="en-US" w:eastAsia="en-US"/>
                          </w:rPr>
                          <w:t>7. BankTrack welcomes new network member from China</w:t>
                        </w:r>
                      </w:p>
                      <w:p w:rsidR="0076741C" w:rsidRPr="0076741C" w:rsidRDefault="0076741C" w:rsidP="0076741C">
                        <w:pPr>
                          <w:ind w:left="284" w:right="284"/>
                          <w:rPr>
                            <w:lang w:val="en-US" w:eastAsia="en-US"/>
                          </w:rPr>
                        </w:pPr>
                        <w:r w:rsidRPr="0076741C">
                          <w:rPr>
                            <w:rFonts w:ascii="Calibri" w:hAnsi="Calibri" w:cs="Calibri"/>
                            <w:lang w:val="en-US" w:eastAsia="en-US"/>
                          </w:rPr>
                          <w:t>8. Friends of the Earth-US holds investor briefings on the ESG risks of CNPC</w:t>
                        </w:r>
                      </w:p>
                      <w:p w:rsidR="0076741C" w:rsidRPr="0076741C" w:rsidRDefault="0076741C" w:rsidP="0076741C">
                        <w:pPr>
                          <w:ind w:left="284" w:right="284"/>
                          <w:rPr>
                            <w:lang w:val="en-US" w:eastAsia="en-US"/>
                          </w:rPr>
                        </w:pPr>
                        <w:r w:rsidRPr="0076741C">
                          <w:rPr>
                            <w:rFonts w:ascii="Calibri" w:hAnsi="Calibri" w:cs="Calibri"/>
                            <w:lang w:val="en-US" w:eastAsia="en-US"/>
                          </w:rPr>
                          <w:t> </w:t>
                        </w:r>
                      </w:p>
                      <w:p w:rsidR="0076741C" w:rsidRPr="0076741C" w:rsidRDefault="00F06D70" w:rsidP="0076741C">
                        <w:pPr>
                          <w:tabs>
                            <w:tab w:val="right" w:leader="dot" w:pos="9062"/>
                          </w:tabs>
                          <w:ind w:left="284" w:right="284" w:firstLine="214"/>
                          <w:rPr>
                            <w:lang w:val="en-US" w:eastAsia="en-US"/>
                          </w:rPr>
                        </w:pPr>
                        <w:r>
                          <w:fldChar w:fldCharType="begin"/>
                        </w:r>
                        <w:r w:rsidRPr="00F06D70">
                          <w:rPr>
                            <w:lang w:val="en-US"/>
                          </w:rPr>
                          <w:instrText xml:space="preserve"> HYPERLINK "mailbox://C:/Documents%20and%20Settings/Gebruiker/Application%20Data/Thunderbird/</w:instrText>
                        </w:r>
                        <w:r w:rsidRPr="00F06D70">
                          <w:rPr>
                            <w:lang w:val="en-US"/>
                          </w:rPr>
                          <w:instrText xml:space="preserve">Profiles/2bszv2lu.default/Mail/mail.nivohost.com/Sent?number=192274227" \l "_Toc313578783" </w:instrText>
                        </w:r>
                        <w:r>
                          <w:fldChar w:fldCharType="separate"/>
                        </w:r>
                        <w:r w:rsidR="0076741C" w:rsidRPr="0076741C">
                          <w:rPr>
                            <w:rFonts w:ascii="Calibri" w:hAnsi="Calibri" w:cs="Calibri"/>
                            <w:color w:val="0000FF"/>
                            <w:u w:val="single"/>
                            <w:lang w:val="en-US" w:eastAsia="en-US"/>
                          </w:rPr>
                          <w:t xml:space="preserve">International Cooperation developments in </w:t>
                        </w:r>
                        <w:proofErr w:type="spellStart"/>
                        <w:r w:rsidR="0076741C" w:rsidRPr="0076741C">
                          <w:rPr>
                            <w:rFonts w:ascii="Calibri" w:hAnsi="Calibri" w:cs="Calibri"/>
                            <w:color w:val="0000FF"/>
                            <w:u w:val="single"/>
                            <w:lang w:val="en-US" w:eastAsia="en-US"/>
                          </w:rPr>
                          <w:t>sustainabilty</w:t>
                        </w:r>
                        <w:proofErr w:type="spellEnd"/>
                        <w:r>
                          <w:rPr>
                            <w:rFonts w:ascii="Calibri" w:hAnsi="Calibri" w:cs="Calibri"/>
                            <w:color w:val="0000FF"/>
                            <w:u w:val="single"/>
                            <w:lang w:val="en-US" w:eastAsia="en-US"/>
                          </w:rPr>
                          <w:fldChar w:fldCharType="end"/>
                        </w:r>
                      </w:p>
                      <w:p w:rsidR="0076741C" w:rsidRPr="0076741C" w:rsidRDefault="0076741C" w:rsidP="0076741C">
                        <w:pPr>
                          <w:ind w:left="284" w:right="284"/>
                          <w:jc w:val="both"/>
                          <w:rPr>
                            <w:lang w:val="en-US" w:eastAsia="en-US"/>
                          </w:rPr>
                        </w:pPr>
                        <w:r w:rsidRPr="0076741C">
                          <w:rPr>
                            <w:rFonts w:ascii="Calibri" w:hAnsi="Calibri" w:cs="Calibri"/>
                            <w:lang w:val="en-GB" w:eastAsia="en-US"/>
                          </w:rPr>
                          <w:t xml:space="preserve">9. China Social Investment Forum launched with help of </w:t>
                        </w:r>
                        <w:proofErr w:type="spellStart"/>
                        <w:r w:rsidRPr="0076741C">
                          <w:rPr>
                            <w:rFonts w:ascii="Calibri" w:hAnsi="Calibri" w:cs="Calibri"/>
                            <w:lang w:val="en-GB" w:eastAsia="en-US"/>
                          </w:rPr>
                          <w:t>ASrIA</w:t>
                        </w:r>
                        <w:proofErr w:type="spellEnd"/>
                        <w:r w:rsidRPr="0076741C">
                          <w:rPr>
                            <w:rFonts w:ascii="Calibri" w:hAnsi="Calibri" w:cs="Calibri"/>
                            <w:lang w:val="en-GB" w:eastAsia="en-US"/>
                          </w:rPr>
                          <w:t xml:space="preserve"> and </w:t>
                        </w:r>
                        <w:proofErr w:type="spellStart"/>
                        <w:r w:rsidRPr="0076741C">
                          <w:rPr>
                            <w:rFonts w:ascii="Calibri" w:hAnsi="Calibri" w:cs="Calibri"/>
                            <w:lang w:val="en-GB" w:eastAsia="en-US"/>
                          </w:rPr>
                          <w:t>TruCost</w:t>
                        </w:r>
                        <w:proofErr w:type="spellEnd"/>
                      </w:p>
                      <w:p w:rsidR="0076741C" w:rsidRPr="0076741C" w:rsidRDefault="0076741C" w:rsidP="0076741C">
                        <w:pPr>
                          <w:ind w:left="284" w:right="284"/>
                          <w:jc w:val="both"/>
                          <w:rPr>
                            <w:lang w:val="en-US" w:eastAsia="en-US"/>
                          </w:rPr>
                        </w:pPr>
                        <w:r w:rsidRPr="0076741C">
                          <w:rPr>
                            <w:rFonts w:ascii="Calibri" w:hAnsi="Calibri" w:cs="Calibri"/>
                            <w:lang w:val="en-GB" w:eastAsia="en-US"/>
                          </w:rPr>
                          <w:t>10. CCICED makes recommendations to the State Council on investment and trade</w:t>
                        </w:r>
                      </w:p>
                      <w:p w:rsidR="0076741C" w:rsidRPr="0076741C" w:rsidRDefault="0076741C" w:rsidP="0076741C">
                        <w:pPr>
                          <w:ind w:left="284" w:right="284"/>
                          <w:rPr>
                            <w:lang w:val="en-US" w:eastAsia="en-US"/>
                          </w:rPr>
                        </w:pPr>
                        <w:r w:rsidRPr="0076741C">
                          <w:rPr>
                            <w:rFonts w:ascii="Calibri" w:hAnsi="Calibri" w:cs="Arial"/>
                            <w:color w:val="28466E"/>
                            <w:lang w:val="en-US" w:eastAsia="en-US"/>
                          </w:rPr>
                          <w:t> </w:t>
                        </w:r>
                      </w:p>
                    </w:tc>
                  </w:tr>
                </w:tbl>
                <w:p w:rsidR="0076741C" w:rsidRPr="0076741C" w:rsidRDefault="0076741C" w:rsidP="0076741C">
                  <w:pPr>
                    <w:rPr>
                      <w:lang w:val="en-US" w:eastAsia="en-US"/>
                    </w:rPr>
                  </w:pPr>
                </w:p>
              </w:tc>
            </w:tr>
          </w:tbl>
          <w:p w:rsidR="0076741C" w:rsidRPr="0076741C" w:rsidRDefault="0076741C" w:rsidP="0076741C">
            <w:pPr>
              <w:rPr>
                <w:lang w:val="en-US" w:eastAsia="en-US"/>
              </w:rPr>
            </w:pPr>
          </w:p>
        </w:tc>
      </w:tr>
      <w:tr w:rsidR="0076741C" w:rsidRPr="00F06D70" w:rsidTr="0076741C">
        <w:trPr>
          <w:tblCellSpacing w:w="15" w:type="dxa"/>
          <w:jc w:val="center"/>
        </w:trPr>
        <w:tc>
          <w:tcPr>
            <w:tcW w:w="11154" w:type="dxa"/>
            <w:shd w:val="clear" w:color="auto" w:fill="E7EDF5"/>
            <w:hideMark/>
          </w:tcPr>
          <w:tbl>
            <w:tblPr>
              <w:tblW w:w="11175" w:type="dxa"/>
              <w:tblCellSpacing w:w="0" w:type="dxa"/>
              <w:tblLayout w:type="fixed"/>
              <w:tblCellMar>
                <w:top w:w="300" w:type="dxa"/>
                <w:left w:w="300" w:type="dxa"/>
                <w:bottom w:w="300" w:type="dxa"/>
                <w:right w:w="300" w:type="dxa"/>
              </w:tblCellMar>
              <w:tblLook w:val="04A0" w:firstRow="1" w:lastRow="0" w:firstColumn="1" w:lastColumn="0" w:noHBand="0" w:noVBand="1"/>
            </w:tblPr>
            <w:tblGrid>
              <w:gridCol w:w="11175"/>
            </w:tblGrid>
            <w:tr w:rsidR="0076741C" w:rsidRPr="00F06D70">
              <w:trPr>
                <w:trHeight w:val="788"/>
                <w:tblCellSpacing w:w="0" w:type="dxa"/>
              </w:trPr>
              <w:tc>
                <w:tcPr>
                  <w:tcW w:w="11175" w:type="dxa"/>
                  <w:hideMark/>
                </w:tcPr>
                <w:p w:rsidR="0076741C" w:rsidRPr="0076741C" w:rsidRDefault="0076741C" w:rsidP="0076741C">
                  <w:pPr>
                    <w:spacing w:before="100" w:beforeAutospacing="1" w:after="100" w:afterAutospacing="1"/>
                    <w:outlineLvl w:val="0"/>
                    <w:rPr>
                      <w:b/>
                      <w:bCs/>
                      <w:kern w:val="36"/>
                      <w:sz w:val="48"/>
                      <w:szCs w:val="48"/>
                      <w:lang w:val="en-US" w:eastAsia="en-US"/>
                    </w:rPr>
                  </w:pPr>
                  <w:bookmarkStart w:id="0" w:name="1"/>
                  <w:bookmarkStart w:id="1" w:name="_Toc313578780"/>
                  <w:bookmarkEnd w:id="0"/>
                  <w:r w:rsidRPr="0076741C">
                    <w:rPr>
                      <w:rFonts w:ascii="Calibri" w:hAnsi="Calibri" w:cs="Calibri"/>
                      <w:b/>
                      <w:bCs/>
                      <w:color w:val="28466E"/>
                      <w:kern w:val="36"/>
                      <w:sz w:val="28"/>
                      <w:szCs w:val="28"/>
                      <w:lang w:val="en-US" w:eastAsia="en-US"/>
                    </w:rPr>
                    <w:t>SUSTAINABILITY IN CHINA’S FINANCIAL SECTOR</w:t>
                  </w:r>
                  <w:bookmarkEnd w:id="1"/>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b/>
                      <w:color w:val="28466E"/>
                      <w:lang w:val="en-GB" w:eastAsia="en-US"/>
                    </w:rPr>
                    <w:t>1. Chinese banks report on sustainability in 2011</w:t>
                  </w:r>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color w:val="28466E"/>
                      <w:lang w:val="en-GB" w:eastAsia="en-US"/>
                    </w:rPr>
                    <w:t xml:space="preserve">As of mid-April, at least ten major Chinese banks had issued corporate social responsibility reports for 2011.  These include Bank of China, Industrial and Commercial Bank of China, China Merchants Bank, Bank of Communications, </w:t>
                  </w:r>
                  <w:proofErr w:type="spellStart"/>
                  <w:r w:rsidRPr="0076741C">
                    <w:rPr>
                      <w:rFonts w:ascii="Calibri" w:hAnsi="Calibri" w:cs="Calibri"/>
                      <w:color w:val="28466E"/>
                      <w:lang w:val="en-GB" w:eastAsia="en-US"/>
                    </w:rPr>
                    <w:t>Hua</w:t>
                  </w:r>
                  <w:proofErr w:type="spellEnd"/>
                  <w:r w:rsidRPr="0076741C">
                    <w:rPr>
                      <w:rFonts w:ascii="Calibri" w:hAnsi="Calibri" w:cs="Calibri"/>
                      <w:color w:val="28466E"/>
                      <w:lang w:val="en-GB" w:eastAsia="en-US"/>
                    </w:rPr>
                    <w:t xml:space="preserve"> Xia Bank, China Construction Bank, Agricultural Bank of China, China </w:t>
                  </w:r>
                  <w:proofErr w:type="spellStart"/>
                  <w:r w:rsidRPr="0076741C">
                    <w:rPr>
                      <w:rFonts w:ascii="Calibri" w:hAnsi="Calibri" w:cs="Calibri"/>
                      <w:color w:val="28466E"/>
                      <w:lang w:val="en-GB" w:eastAsia="en-US"/>
                    </w:rPr>
                    <w:t>Minsheng</w:t>
                  </w:r>
                  <w:proofErr w:type="spellEnd"/>
                  <w:r w:rsidRPr="0076741C">
                    <w:rPr>
                      <w:rFonts w:ascii="Calibri" w:hAnsi="Calibri" w:cs="Calibri"/>
                      <w:color w:val="28466E"/>
                      <w:lang w:val="en-GB" w:eastAsia="en-US"/>
                    </w:rPr>
                    <w:t xml:space="preserve"> Bank, Shanghai </w:t>
                  </w:r>
                  <w:proofErr w:type="spellStart"/>
                  <w:r w:rsidRPr="0076741C">
                    <w:rPr>
                      <w:rFonts w:ascii="Calibri" w:hAnsi="Calibri" w:cs="Calibri"/>
                      <w:color w:val="28466E"/>
                      <w:lang w:val="en-GB" w:eastAsia="en-US"/>
                    </w:rPr>
                    <w:t>Pudong</w:t>
                  </w:r>
                  <w:proofErr w:type="spellEnd"/>
                  <w:r w:rsidRPr="0076741C">
                    <w:rPr>
                      <w:rFonts w:ascii="Calibri" w:hAnsi="Calibri" w:cs="Calibri"/>
                      <w:color w:val="28466E"/>
                      <w:lang w:val="en-GB" w:eastAsia="en-US"/>
                    </w:rPr>
                    <w:t xml:space="preserve"> Development Bank and Shenzhen Development Bank.  For an analysis of the progress major Chinese listed banks have made toward sustainability, see #6, below.</w:t>
                  </w:r>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b/>
                      <w:color w:val="28466E"/>
                      <w:lang w:val="en-GB" w:eastAsia="en-US"/>
                    </w:rPr>
                    <w:t>2. CDB lending to renewable energy companies</w:t>
                  </w:r>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color w:val="28466E"/>
                      <w:lang w:val="en-GB" w:eastAsia="en-US"/>
                    </w:rPr>
                    <w:t xml:space="preserve">In 2012, China Development Bank (CDB) continued its massive lending to renewable energy companies.  Notably, the policy bank signed a RMB 35 billion (USD 5.5 billion) financial agreement with Xinjiang </w:t>
                  </w:r>
                  <w:proofErr w:type="spellStart"/>
                  <w:r w:rsidRPr="0076741C">
                    <w:rPr>
                      <w:rFonts w:ascii="Calibri" w:hAnsi="Calibri" w:cs="Calibri"/>
                      <w:color w:val="28466E"/>
                      <w:lang w:val="en-GB" w:eastAsia="en-US"/>
                    </w:rPr>
                    <w:t>Goldwind</w:t>
                  </w:r>
                  <w:proofErr w:type="spellEnd"/>
                  <w:r w:rsidRPr="0076741C">
                    <w:rPr>
                      <w:rFonts w:ascii="Calibri" w:hAnsi="Calibri" w:cs="Calibri"/>
                      <w:color w:val="28466E"/>
                      <w:lang w:val="en-GB" w:eastAsia="en-US"/>
                    </w:rPr>
                    <w:t xml:space="preserve"> Science Technology and Co., China’s second-largest wind-turbine maker in January and a USD 324 million framework agreement with </w:t>
                  </w:r>
                  <w:proofErr w:type="spellStart"/>
                  <w:r w:rsidRPr="0076741C">
                    <w:rPr>
                      <w:rFonts w:ascii="Calibri" w:hAnsi="Calibri" w:cs="Calibri"/>
                      <w:color w:val="28466E"/>
                      <w:lang w:val="en-GB" w:eastAsia="en-US"/>
                    </w:rPr>
                    <w:t>Yingli</w:t>
                  </w:r>
                  <w:proofErr w:type="spellEnd"/>
                  <w:r w:rsidRPr="0076741C">
                    <w:rPr>
                      <w:rFonts w:ascii="Calibri" w:hAnsi="Calibri" w:cs="Calibri"/>
                      <w:color w:val="28466E"/>
                      <w:lang w:val="en-GB" w:eastAsia="en-US"/>
                    </w:rPr>
                    <w:t xml:space="preserve"> Green Energy Holding Co., another Chinese solar equipment maker, to facilitate the company’s imports of raw materials in April. </w:t>
                  </w:r>
                </w:p>
                <w:p w:rsidR="0076741C" w:rsidRPr="0076741C" w:rsidRDefault="0076741C" w:rsidP="0076741C">
                  <w:pPr>
                    <w:spacing w:after="60"/>
                    <w:jc w:val="both"/>
                    <w:rPr>
                      <w:lang w:val="en-US" w:eastAsia="en-US"/>
                    </w:rPr>
                  </w:pPr>
                  <w:r w:rsidRPr="0076741C">
                    <w:rPr>
                      <w:rFonts w:ascii="Calibri" w:hAnsi="Calibri" w:cs="Calibri"/>
                      <w:color w:val="28466E"/>
                      <w:lang w:val="en-GB" w:eastAsia="en-US"/>
                    </w:rPr>
                    <w:t xml:space="preserve">CDB’s lines of credit to wind energy companies in 2011 helped China become the leader in debt financing to the industry that year, accounting for USD 6.8 billion of the USD 11 billion total offered worldwide, according to market research firm </w:t>
                  </w:r>
                  <w:proofErr w:type="spellStart"/>
                  <w:r w:rsidRPr="0076741C">
                    <w:rPr>
                      <w:rFonts w:ascii="Calibri" w:hAnsi="Calibri" w:cs="Calibri"/>
                      <w:color w:val="28466E"/>
                      <w:lang w:val="en-GB" w:eastAsia="en-US"/>
                    </w:rPr>
                    <w:t>Mercom</w:t>
                  </w:r>
                  <w:proofErr w:type="spellEnd"/>
                  <w:r w:rsidRPr="0076741C">
                    <w:rPr>
                      <w:rFonts w:ascii="Calibri" w:hAnsi="Calibri" w:cs="Calibri"/>
                      <w:color w:val="28466E"/>
                      <w:lang w:val="en-GB" w:eastAsia="en-US"/>
                    </w:rPr>
                    <w:t xml:space="preserve"> Capital Group.  Denmark and Spain had USD 1.9 billion and USD 1.7 billion in debt respectively, and the US came in fifth with USD 201 million.  The single largest deal in 2011 was CDB’s USD 5 billion credit facility to </w:t>
                  </w:r>
                  <w:proofErr w:type="spellStart"/>
                  <w:r w:rsidRPr="0076741C">
                    <w:rPr>
                      <w:rFonts w:ascii="Calibri" w:hAnsi="Calibri" w:cs="Calibri"/>
                      <w:color w:val="28466E"/>
                      <w:lang w:val="en-GB" w:eastAsia="en-US"/>
                    </w:rPr>
                    <w:t>Guandong</w:t>
                  </w:r>
                  <w:proofErr w:type="spellEnd"/>
                  <w:r w:rsidRPr="0076741C">
                    <w:rPr>
                      <w:rFonts w:ascii="Calibri" w:hAnsi="Calibri" w:cs="Calibri"/>
                      <w:color w:val="28466E"/>
                      <w:lang w:val="en-GB" w:eastAsia="en-US"/>
                    </w:rPr>
                    <w:t xml:space="preserve"> Ming Yang Wind Power Industry Group Co.  However, the European Investment Bank was reportedly the biggest funder, with involvement in eight major transactions, followed by the International Finance Corporation with seven transactions.</w:t>
                  </w:r>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b/>
                      <w:color w:val="28466E"/>
                      <w:lang w:val="en-GB" w:eastAsia="en-US"/>
                    </w:rPr>
                    <w:t>3. New report highlights Chinese lending to unsustainable extractive projects in Latin America</w:t>
                  </w:r>
                </w:p>
                <w:p w:rsidR="0076741C" w:rsidRPr="0076741C" w:rsidRDefault="0076741C" w:rsidP="0076741C">
                  <w:pPr>
                    <w:spacing w:after="60"/>
                    <w:jc w:val="both"/>
                    <w:rPr>
                      <w:lang w:val="en-US" w:eastAsia="en-US"/>
                    </w:rPr>
                  </w:pPr>
                  <w:r w:rsidRPr="0076741C">
                    <w:rPr>
                      <w:rFonts w:ascii="Calibri" w:hAnsi="Calibri" w:cs="Calibri"/>
                      <w:color w:val="28466E"/>
                      <w:lang w:val="en-GB" w:eastAsia="en-US"/>
                    </w:rPr>
                    <w:t>A March report from Tufts University Global Development and Environment Institute found that between 2005 and 2011, the China Development Bank and China Export-Import Bank loaned roughly USD 75 billion to Latin American governments, which was greater than World Bank and Inter-American Development Bank lending in the region.  The report found that more than half of loan commitments from the Chinese policy banks were backed by the sale of oil or minerals to Chinese companies, however, contrary to popular belief, Chinese policy banks are not forcing Latin American governments to sell their resources at low prices.  In the long run, the report pointed out, the prominence of resource-backed loans was unsustainable for Latin Americans because of the high environmental impacts of resource extraction and underdeveloped environmental standards offered by Chinese banks.</w:t>
                  </w:r>
                </w:p>
              </w:tc>
            </w:tr>
          </w:tbl>
          <w:p w:rsidR="0076741C" w:rsidRPr="0076741C" w:rsidRDefault="0076741C" w:rsidP="0076741C">
            <w:pPr>
              <w:rPr>
                <w:lang w:val="en-US" w:eastAsia="en-US"/>
              </w:rPr>
            </w:pPr>
          </w:p>
        </w:tc>
      </w:tr>
      <w:tr w:rsidR="0076741C" w:rsidRPr="00F06D70" w:rsidTr="0076741C">
        <w:trPr>
          <w:tblCellSpacing w:w="15" w:type="dxa"/>
          <w:jc w:val="center"/>
        </w:trPr>
        <w:tc>
          <w:tcPr>
            <w:tcW w:w="11154" w:type="dxa"/>
            <w:shd w:val="clear" w:color="auto" w:fill="E7EDF5"/>
            <w:hideMark/>
          </w:tcPr>
          <w:tbl>
            <w:tblPr>
              <w:tblW w:w="5000" w:type="pct"/>
              <w:tblCellSpacing w:w="0" w:type="dxa"/>
              <w:tblLayout w:type="fixed"/>
              <w:tblCellMar>
                <w:top w:w="300" w:type="dxa"/>
                <w:left w:w="300" w:type="dxa"/>
                <w:bottom w:w="300" w:type="dxa"/>
                <w:right w:w="300" w:type="dxa"/>
              </w:tblCellMar>
              <w:tblLook w:val="04A0" w:firstRow="1" w:lastRow="0" w:firstColumn="1" w:lastColumn="0" w:noHBand="0" w:noVBand="1"/>
            </w:tblPr>
            <w:tblGrid>
              <w:gridCol w:w="11160"/>
            </w:tblGrid>
            <w:tr w:rsidR="0076741C" w:rsidRPr="00F06D70">
              <w:trPr>
                <w:tblCellSpacing w:w="0" w:type="dxa"/>
              </w:trPr>
              <w:tc>
                <w:tcPr>
                  <w:tcW w:w="11235" w:type="dxa"/>
                  <w:hideMark/>
                </w:tcPr>
                <w:p w:rsidR="0076741C" w:rsidRPr="0076741C" w:rsidRDefault="0076741C" w:rsidP="0076741C">
                  <w:pPr>
                    <w:spacing w:before="100" w:beforeAutospacing="1" w:after="100" w:afterAutospacing="1"/>
                    <w:outlineLvl w:val="0"/>
                    <w:rPr>
                      <w:b/>
                      <w:bCs/>
                      <w:kern w:val="36"/>
                      <w:sz w:val="48"/>
                      <w:szCs w:val="48"/>
                      <w:lang w:val="en-US" w:eastAsia="en-US"/>
                    </w:rPr>
                  </w:pPr>
                  <w:bookmarkStart w:id="2" w:name="2"/>
                  <w:bookmarkStart w:id="3" w:name="_Toc313578781"/>
                  <w:bookmarkEnd w:id="2"/>
                  <w:r w:rsidRPr="0076741C">
                    <w:rPr>
                      <w:rFonts w:ascii="Calibri" w:hAnsi="Calibri" w:cs="Calibri"/>
                      <w:b/>
                      <w:bCs/>
                      <w:color w:val="28466E"/>
                      <w:kern w:val="36"/>
                      <w:sz w:val="28"/>
                      <w:szCs w:val="28"/>
                      <w:lang w:val="en-US" w:eastAsia="en-US"/>
                    </w:rPr>
                    <w:t>POLICY DEVELOPMENTS</w:t>
                  </w:r>
                  <w:bookmarkEnd w:id="3"/>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b/>
                      <w:color w:val="28466E"/>
                      <w:lang w:val="en-GB" w:eastAsia="en-US"/>
                    </w:rPr>
                    <w:t>4. CBRC releases Green Credit Guidelines</w:t>
                  </w:r>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color w:val="28466E"/>
                      <w:lang w:val="en-GB" w:eastAsia="en-US"/>
                    </w:rPr>
                    <w:t xml:space="preserve">In February 2012 the China Banking Regulatory Commission (CBRC) released the </w:t>
                  </w:r>
                  <w:r w:rsidR="00F06D70">
                    <w:rPr>
                      <w:rFonts w:ascii="Calibri" w:eastAsia="SimSun" w:hAnsi="Calibri" w:cs="Calibri"/>
                      <w:color w:val="28466E"/>
                      <w:lang w:val="en-GB" w:eastAsia="en-US"/>
                    </w:rPr>
                    <w:fldChar w:fldCharType="begin"/>
                  </w:r>
                  <w:r w:rsidR="00F06D70">
                    <w:rPr>
                      <w:rFonts w:ascii="Calibri" w:eastAsia="SimSun" w:hAnsi="Calibri" w:cs="Calibri"/>
                      <w:color w:val="28466E"/>
                      <w:lang w:val="en-GB" w:eastAsia="en-US"/>
                    </w:rPr>
                    <w:instrText xml:space="preserve"> HYPERLINK "http://www.banktrack.org/manage/ems_files/download/0_1/20120309_civ_society_letter.pdf" </w:instrText>
                  </w:r>
                  <w:r w:rsidR="00F06D70">
                    <w:rPr>
                      <w:rFonts w:ascii="Calibri" w:eastAsia="SimSun" w:hAnsi="Calibri" w:cs="Calibri"/>
                      <w:color w:val="28466E"/>
                      <w:lang w:val="en-GB" w:eastAsia="en-US"/>
                    </w:rPr>
                  </w:r>
                  <w:r w:rsidR="00F06D70">
                    <w:rPr>
                      <w:rFonts w:ascii="Calibri" w:eastAsia="SimSun" w:hAnsi="Calibri" w:cs="Calibri"/>
                      <w:color w:val="28466E"/>
                      <w:lang w:val="en-GB" w:eastAsia="en-US"/>
                    </w:rPr>
                    <w:fldChar w:fldCharType="separate"/>
                  </w:r>
                  <w:r w:rsidRPr="00F06D70">
                    <w:rPr>
                      <w:rStyle w:val="Hyperlink"/>
                      <w:rFonts w:ascii="Calibri" w:eastAsia="SimSun" w:hAnsi="Calibri" w:cs="Calibri"/>
                      <w:lang w:val="en-GB" w:eastAsia="en-US"/>
                    </w:rPr>
                    <w:t>Green Credit Guideline</w:t>
                  </w:r>
                  <w:r w:rsidR="00F06D70">
                    <w:rPr>
                      <w:rFonts w:ascii="Calibri" w:eastAsia="SimSun" w:hAnsi="Calibri" w:cs="Calibri"/>
                      <w:color w:val="28466E"/>
                      <w:lang w:val="en-GB" w:eastAsia="en-US"/>
                    </w:rPr>
                    <w:fldChar w:fldCharType="end"/>
                  </w:r>
                  <w:bookmarkStart w:id="4" w:name="_GoBack"/>
                  <w:bookmarkEnd w:id="4"/>
                  <w:r w:rsidRPr="0076741C">
                    <w:rPr>
                      <w:rFonts w:ascii="Calibri" w:eastAsia="SimSun" w:hAnsi="Calibri" w:cs="Calibri"/>
                      <w:color w:val="28466E"/>
                      <w:lang w:val="en-GB" w:eastAsia="en-US"/>
                    </w:rPr>
                    <w:t xml:space="preserve"> (</w:t>
                  </w:r>
                  <w:proofErr w:type="spellStart"/>
                  <w:r w:rsidRPr="0076741C">
                    <w:rPr>
                      <w:rFonts w:ascii="Calibri" w:eastAsia="SimSun" w:hAnsi="Calibri" w:cs="Calibri" w:hint="eastAsia"/>
                      <w:color w:val="28466E"/>
                      <w:lang w:val="en-GB" w:eastAsia="en-US"/>
                    </w:rPr>
                    <w:t>绿色信贷指引</w:t>
                  </w:r>
                  <w:proofErr w:type="spellEnd"/>
                  <w:r w:rsidRPr="0076741C">
                    <w:rPr>
                      <w:rFonts w:ascii="Calibri" w:eastAsia="SimSun" w:hAnsi="Calibri" w:cs="Calibri"/>
                      <w:color w:val="28466E"/>
                      <w:lang w:val="en-GB" w:eastAsia="en-US"/>
                    </w:rPr>
                    <w:t xml:space="preserve">).  Building from the foundation of 2007’s Green Credit Policy, the seven-chapter and 30-provision directive for the first time spells out in detail how banks should </w:t>
                  </w:r>
                  <w:proofErr w:type="spellStart"/>
                  <w:r w:rsidRPr="0076741C">
                    <w:rPr>
                      <w:rFonts w:ascii="Calibri" w:eastAsia="SimSun" w:hAnsi="Calibri" w:cs="Calibri"/>
                      <w:color w:val="28466E"/>
                      <w:lang w:val="en-GB" w:eastAsia="en-US"/>
                    </w:rPr>
                    <w:t>fulfill</w:t>
                  </w:r>
                  <w:proofErr w:type="spellEnd"/>
                  <w:r w:rsidRPr="0076741C">
                    <w:rPr>
                      <w:rFonts w:ascii="Calibri" w:eastAsia="SimSun" w:hAnsi="Calibri" w:cs="Calibri"/>
                      <w:color w:val="28466E"/>
                      <w:lang w:val="en-GB" w:eastAsia="en-US"/>
                    </w:rPr>
                    <w:t xml:space="preserve"> their environmental and social responsibilities, including green credit policies and management systems, capacity building, monitoring and supervision, information disclosure, and more.  The guideline applies to Chinese policy banks, commercial banks, rural cooperative banks, and rural credit cooperatives.  Notably, the document:</w:t>
                  </w:r>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color w:val="28466E"/>
                      <w:lang w:val="en-GB" w:eastAsia="en-US"/>
                    </w:rPr>
                    <w:t>-</w:t>
                  </w:r>
                  <w:r w:rsidRPr="0076741C">
                    <w:rPr>
                      <w:rFonts w:ascii="Calibri" w:eastAsia="SimSun" w:hAnsi="Calibri" w:cs="Calibri"/>
                      <w:color w:val="28466E"/>
                      <w:lang w:val="en-GB" w:eastAsia="en-US"/>
                    </w:rPr>
                    <w:tab/>
                    <w:t>Emphasizes the effective management of both environmental and social risks;</w:t>
                  </w:r>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color w:val="28466E"/>
                      <w:lang w:val="en-GB" w:eastAsia="en-US"/>
                    </w:rPr>
                    <w:t>-</w:t>
                  </w:r>
                  <w:r w:rsidRPr="0076741C">
                    <w:rPr>
                      <w:rFonts w:ascii="Calibri" w:eastAsia="SimSun" w:hAnsi="Calibri" w:cs="Calibri"/>
                      <w:color w:val="28466E"/>
                      <w:lang w:val="en-GB" w:eastAsia="en-US"/>
                    </w:rPr>
                    <w:tab/>
                    <w:t>Makes specific reference to greater transparency and disclosure of information; and</w:t>
                  </w:r>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color w:val="28466E"/>
                      <w:lang w:val="en-GB" w:eastAsia="en-US"/>
                    </w:rPr>
                    <w:t>-</w:t>
                  </w:r>
                  <w:r w:rsidRPr="0076741C">
                    <w:rPr>
                      <w:rFonts w:ascii="Calibri" w:eastAsia="SimSun" w:hAnsi="Calibri" w:cs="Calibri"/>
                      <w:color w:val="28466E"/>
                      <w:lang w:val="en-GB" w:eastAsia="en-US"/>
                    </w:rPr>
                    <w:tab/>
                    <w:t>Makes specific reference to Chinese commercial banks' overseas investments and activities, and the incorporation of international standards.</w:t>
                  </w:r>
                </w:p>
                <w:p w:rsidR="0076741C" w:rsidRPr="0076741C" w:rsidRDefault="0076741C" w:rsidP="0076741C">
                  <w:pPr>
                    <w:spacing w:after="60"/>
                    <w:jc w:val="both"/>
                    <w:rPr>
                      <w:lang w:val="en-US" w:eastAsia="en-US"/>
                    </w:rPr>
                  </w:pPr>
                  <w:r w:rsidRPr="0076741C">
                    <w:rPr>
                      <w:rFonts w:ascii="Calibri" w:eastAsia="SimSun" w:hAnsi="Calibri" w:cs="Calibri"/>
                      <w:color w:val="28466E"/>
                      <w:lang w:val="en-GB" w:eastAsia="en-US"/>
                    </w:rPr>
                    <w:t>In March 2012, nine Chinese NGOs published comments on the new CBRC Green Credit Guidelines, available in Chinese and English.</w:t>
                  </w:r>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b/>
                      <w:color w:val="28466E"/>
                      <w:lang w:val="en-GB" w:eastAsia="en-US"/>
                    </w:rPr>
                    <w:t>5. CSRC moves to improve information disclosure</w:t>
                  </w:r>
                </w:p>
                <w:p w:rsidR="0076741C" w:rsidRPr="0076741C" w:rsidRDefault="0076741C" w:rsidP="0076741C">
                  <w:pPr>
                    <w:spacing w:before="100" w:beforeAutospacing="1" w:after="100" w:afterAutospacing="1"/>
                    <w:jc w:val="both"/>
                    <w:rPr>
                      <w:lang w:val="en-US" w:eastAsia="en-US"/>
                    </w:rPr>
                  </w:pPr>
                  <w:r w:rsidRPr="0076741C">
                    <w:rPr>
                      <w:rFonts w:ascii="Calibri" w:eastAsia="SimSun" w:hAnsi="Calibri" w:cs="Calibri"/>
                      <w:color w:val="28466E"/>
                      <w:lang w:val="en-GB" w:eastAsia="en-US"/>
                    </w:rPr>
                    <w:t>In February, China’s security regulator for the first time published a full list of companies looking to list shares on the country’s stock markets in an effort to promote greater transparency of the initial public offering (IPO) application process.  The list, published on the China Securities Regulatory Commission (CSRC) website, is updated weekly.  Companies applying for an IPO on the Shanghai or Shenzhen stock exchanges are listed by name, industry, sponsoring organization and other data.  However, no application date is provided, making it unclear when many of the share listings would take place.</w:t>
                  </w:r>
                </w:p>
                <w:p w:rsidR="0076741C" w:rsidRPr="0076741C" w:rsidRDefault="0076741C" w:rsidP="0076741C">
                  <w:pPr>
                    <w:spacing w:after="60"/>
                    <w:jc w:val="both"/>
                    <w:rPr>
                      <w:lang w:val="en-US" w:eastAsia="en-US"/>
                    </w:rPr>
                  </w:pPr>
                  <w:r w:rsidRPr="0076741C">
                    <w:rPr>
                      <w:rFonts w:ascii="Calibri" w:eastAsia="SimSun" w:hAnsi="Calibri" w:cs="Calibri"/>
                      <w:color w:val="28466E"/>
                      <w:lang w:val="en-GB" w:eastAsia="en-US"/>
                    </w:rPr>
                    <w:t xml:space="preserve">Other means to improve the monitoring of China’s IPO process include the Green IPO Policy, for which companies within certain highly polluting and energy intensive industries must obtain permission from the Ministry of Environmental Protection in order to list shares on China’s stock markets.  This process entails a 10-day public comment period during which citizens may voice concerns to MEP about the companies’ </w:t>
                  </w:r>
                  <w:proofErr w:type="spellStart"/>
                  <w:r w:rsidRPr="0076741C">
                    <w:rPr>
                      <w:rFonts w:ascii="Calibri" w:eastAsia="SimSun" w:hAnsi="Calibri" w:cs="Calibri"/>
                      <w:color w:val="28466E"/>
                      <w:lang w:val="en-GB" w:eastAsia="en-US"/>
                    </w:rPr>
                    <w:t>behavior</w:t>
                  </w:r>
                  <w:proofErr w:type="spellEnd"/>
                  <w:r w:rsidRPr="0076741C">
                    <w:rPr>
                      <w:rFonts w:ascii="Calibri" w:eastAsia="SimSun" w:hAnsi="Calibri" w:cs="Calibri"/>
                      <w:color w:val="28466E"/>
                      <w:lang w:val="en-GB" w:eastAsia="en-US"/>
                    </w:rPr>
                    <w:t>.  The MEP’s 2009 approval of the IPO of Gold East Paper, a subsidiary of Asia Pulp &amp; Paper that was found to have violated several water pollution laws and illegally harvested old growth forests in China, illustrated that the government still had some ways to go to provide adequate environmental safeguards during the IPO process.</w:t>
                  </w:r>
                </w:p>
              </w:tc>
            </w:tr>
          </w:tbl>
          <w:p w:rsidR="0076741C" w:rsidRPr="0076741C" w:rsidRDefault="0076741C" w:rsidP="0076741C">
            <w:pPr>
              <w:rPr>
                <w:lang w:val="en-US" w:eastAsia="en-US"/>
              </w:rPr>
            </w:pPr>
          </w:p>
        </w:tc>
      </w:tr>
      <w:tr w:rsidR="0076741C" w:rsidRPr="00F06D70" w:rsidTr="0076741C">
        <w:trPr>
          <w:tblCellSpacing w:w="15" w:type="dxa"/>
          <w:jc w:val="center"/>
        </w:trPr>
        <w:tc>
          <w:tcPr>
            <w:tcW w:w="11154" w:type="dxa"/>
            <w:shd w:val="clear" w:color="auto" w:fill="E7EDF5"/>
            <w:hideMark/>
          </w:tcPr>
          <w:tbl>
            <w:tblPr>
              <w:tblW w:w="5000" w:type="pct"/>
              <w:tblCellSpacing w:w="0" w:type="dxa"/>
              <w:tblLayout w:type="fixed"/>
              <w:tblCellMar>
                <w:top w:w="300" w:type="dxa"/>
                <w:left w:w="300" w:type="dxa"/>
                <w:bottom w:w="300" w:type="dxa"/>
                <w:right w:w="300" w:type="dxa"/>
              </w:tblCellMar>
              <w:tblLook w:val="04A0" w:firstRow="1" w:lastRow="0" w:firstColumn="1" w:lastColumn="0" w:noHBand="0" w:noVBand="1"/>
            </w:tblPr>
            <w:tblGrid>
              <w:gridCol w:w="11160"/>
            </w:tblGrid>
            <w:tr w:rsidR="0076741C" w:rsidRPr="00F06D70">
              <w:trPr>
                <w:trHeight w:val="1236"/>
                <w:tblCellSpacing w:w="0" w:type="dxa"/>
              </w:trPr>
              <w:tc>
                <w:tcPr>
                  <w:tcW w:w="11235" w:type="dxa"/>
                  <w:hideMark/>
                </w:tcPr>
                <w:p w:rsidR="0076741C" w:rsidRPr="0076741C" w:rsidRDefault="0076741C" w:rsidP="0076741C">
                  <w:pPr>
                    <w:spacing w:before="100" w:beforeAutospacing="1" w:after="100" w:afterAutospacing="1"/>
                    <w:outlineLvl w:val="0"/>
                    <w:rPr>
                      <w:b/>
                      <w:bCs/>
                      <w:kern w:val="36"/>
                      <w:sz w:val="48"/>
                      <w:szCs w:val="48"/>
                      <w:lang w:val="en-US" w:eastAsia="en-US"/>
                    </w:rPr>
                  </w:pPr>
                  <w:bookmarkStart w:id="5" w:name="3"/>
                  <w:bookmarkStart w:id="6" w:name="_Toc313578782"/>
                  <w:bookmarkEnd w:id="5"/>
                  <w:r w:rsidRPr="0076741C">
                    <w:rPr>
                      <w:rFonts w:ascii="Calibri" w:hAnsi="Calibri" w:cs="Calibri"/>
                      <w:b/>
                      <w:bCs/>
                      <w:color w:val="28466E"/>
                      <w:kern w:val="36"/>
                      <w:sz w:val="28"/>
                      <w:szCs w:val="28"/>
                      <w:lang w:val="en-US" w:eastAsia="en-US"/>
                    </w:rPr>
                    <w:t>CIVIL SOCIETY ACTIVITIES</w:t>
                  </w:r>
                  <w:bookmarkEnd w:id="6"/>
                </w:p>
                <w:p w:rsidR="0076741C" w:rsidRPr="0076741C" w:rsidRDefault="0076741C" w:rsidP="0076741C">
                  <w:pPr>
                    <w:spacing w:before="100" w:beforeAutospacing="1" w:after="100" w:afterAutospacing="1"/>
                    <w:jc w:val="both"/>
                    <w:rPr>
                      <w:lang w:val="en-US" w:eastAsia="en-US"/>
                    </w:rPr>
                  </w:pPr>
                  <w:r w:rsidRPr="0076741C">
                    <w:rPr>
                      <w:rFonts w:ascii="Calibri" w:hAnsi="Calibri" w:cs="Arial"/>
                      <w:b/>
                      <w:color w:val="28466E"/>
                      <w:lang w:val="en-GB" w:eastAsia="en-US"/>
                    </w:rPr>
                    <w:t>6. Chinese NGOs release third annual benchmarking of Chinese listed banks</w:t>
                  </w:r>
                </w:p>
                <w:p w:rsidR="0076741C" w:rsidRPr="0076741C" w:rsidRDefault="0076741C" w:rsidP="0076741C">
                  <w:pPr>
                    <w:spacing w:before="100" w:beforeAutospacing="1" w:after="100" w:afterAutospacing="1"/>
                    <w:jc w:val="both"/>
                    <w:rPr>
                      <w:lang w:val="en-US" w:eastAsia="en-US"/>
                    </w:rPr>
                  </w:pPr>
                  <w:r w:rsidRPr="0076741C">
                    <w:rPr>
                      <w:rFonts w:ascii="Calibri" w:hAnsi="Calibri" w:cs="Arial"/>
                      <w:color w:val="28466E"/>
                      <w:lang w:val="en-GB" w:eastAsia="en-US"/>
                    </w:rPr>
                    <w:t>In April, eight Chinese NGO led by Green Watershed released their third annual report benchmarking the environmental policies and performance of Chinese listed banks.  The Environmental Record of China’s Banking Sector 2011 (</w:t>
                  </w:r>
                  <w:r w:rsidRPr="0076741C">
                    <w:rPr>
                      <w:rFonts w:ascii="Arial Unicode MS" w:hAnsi="Arial Unicode MS" w:cs="Arial Unicode MS"/>
                      <w:lang w:val="en-GB" w:eastAsia="en-US"/>
                    </w:rPr>
                    <w:t>中国银行业环境记录</w:t>
                  </w:r>
                  <w:r w:rsidRPr="0076741C">
                    <w:rPr>
                      <w:rFonts w:ascii="Calibri" w:hAnsi="Calibri" w:cs="Arial"/>
                      <w:color w:val="28466E"/>
                      <w:lang w:val="en-GB" w:eastAsia="en-US"/>
                    </w:rPr>
                    <w:t xml:space="preserve">2011) tracks 16 major Chinese commercial banks, including the Industrial and Commercial Bank of China, China Construction Bank and Bank of China, which are among the largest publicly listed banks in the world.  Like the previous reports, the 2011 edition assessed each bank’s environmental policies, implementation measures, reductions in lending to energy-intensive and polluting sectors, information disclosure, overseas lending, etc.  Previously, the NGOs had used the banks’ awards and philanthropy as performance indicators, which were eliminated in this year’s report.  Also new this year was the inclusion of two more banks than the previous years – the Agricultural Bank of China and China </w:t>
                  </w:r>
                  <w:proofErr w:type="spellStart"/>
                  <w:r w:rsidRPr="0076741C">
                    <w:rPr>
                      <w:rFonts w:ascii="Calibri" w:hAnsi="Calibri" w:cs="Arial"/>
                      <w:color w:val="28466E"/>
                      <w:lang w:val="en-GB" w:eastAsia="en-US"/>
                    </w:rPr>
                    <w:t>Everbright</w:t>
                  </w:r>
                  <w:proofErr w:type="spellEnd"/>
                  <w:r w:rsidRPr="0076741C">
                    <w:rPr>
                      <w:rFonts w:ascii="Calibri" w:hAnsi="Calibri" w:cs="Arial"/>
                      <w:color w:val="28466E"/>
                      <w:lang w:val="en-GB" w:eastAsia="en-US"/>
                    </w:rPr>
                    <w:t xml:space="preserve"> Bank.  </w:t>
                  </w:r>
                </w:p>
                <w:p w:rsidR="0076741C" w:rsidRPr="0076741C" w:rsidRDefault="0076741C" w:rsidP="0076741C">
                  <w:pPr>
                    <w:spacing w:after="60"/>
                    <w:jc w:val="both"/>
                    <w:rPr>
                      <w:lang w:val="en-US" w:eastAsia="en-US"/>
                    </w:rPr>
                  </w:pPr>
                  <w:r w:rsidRPr="0076741C">
                    <w:rPr>
                      <w:rFonts w:ascii="Calibri" w:hAnsi="Calibri" w:cs="Arial"/>
                      <w:color w:val="28466E"/>
                      <w:lang w:val="en-GB" w:eastAsia="en-US"/>
                    </w:rPr>
                    <w:t xml:space="preserve">The full </w:t>
                  </w:r>
                  <w:proofErr w:type="gramStart"/>
                  <w:r w:rsidRPr="0076741C">
                    <w:rPr>
                      <w:rFonts w:ascii="Calibri" w:hAnsi="Calibri" w:cs="Arial"/>
                      <w:color w:val="28466E"/>
                      <w:lang w:val="en-GB" w:eastAsia="en-US"/>
                    </w:rPr>
                    <w:t>report (Chinese), as well as an executive summary (Chinese and English) highlighting the key findings of the report are</w:t>
                  </w:r>
                  <w:proofErr w:type="gramEnd"/>
                  <w:r w:rsidRPr="0076741C">
                    <w:rPr>
                      <w:rFonts w:ascii="Calibri" w:hAnsi="Calibri" w:cs="Arial"/>
                      <w:color w:val="28466E"/>
                      <w:lang w:val="en-GB" w:eastAsia="en-US"/>
                    </w:rPr>
                    <w:t xml:space="preserve"> available here.</w:t>
                  </w:r>
                </w:p>
                <w:p w:rsidR="0076741C" w:rsidRPr="0076741C" w:rsidRDefault="0076741C" w:rsidP="0076741C">
                  <w:pPr>
                    <w:spacing w:before="100" w:beforeAutospacing="1" w:after="100" w:afterAutospacing="1"/>
                    <w:jc w:val="both"/>
                    <w:rPr>
                      <w:lang w:val="en-US" w:eastAsia="en-US"/>
                    </w:rPr>
                  </w:pPr>
                  <w:r w:rsidRPr="0076741C">
                    <w:rPr>
                      <w:rFonts w:ascii="Calibri" w:hAnsi="Calibri" w:cs="Arial"/>
                      <w:b/>
                      <w:color w:val="28466E"/>
                      <w:lang w:val="en-US" w:eastAsia="en-US"/>
                    </w:rPr>
                    <w:t xml:space="preserve">7. BankTrack welcomes new network member from China </w:t>
                  </w:r>
                </w:p>
                <w:p w:rsidR="0076741C" w:rsidRPr="0076741C" w:rsidRDefault="0076741C" w:rsidP="0076741C">
                  <w:pPr>
                    <w:spacing w:after="60"/>
                    <w:jc w:val="both"/>
                    <w:rPr>
                      <w:lang w:val="en-US" w:eastAsia="en-US"/>
                    </w:rPr>
                  </w:pPr>
                  <w:r w:rsidRPr="0076741C">
                    <w:rPr>
                      <w:rFonts w:ascii="Calibri" w:hAnsi="Calibri" w:cs="Arial"/>
                      <w:color w:val="28466E"/>
                      <w:lang w:val="en-US" w:eastAsia="en-US"/>
                    </w:rPr>
                    <w:t xml:space="preserve">In March, Beijing-based NGO </w:t>
                  </w:r>
                  <w:proofErr w:type="spellStart"/>
                  <w:r w:rsidRPr="0076741C">
                    <w:rPr>
                      <w:rFonts w:ascii="Calibri" w:hAnsi="Calibri" w:cs="Arial"/>
                      <w:color w:val="28466E"/>
                      <w:lang w:val="en-US" w:eastAsia="en-US"/>
                    </w:rPr>
                    <w:t>Greenovation</w:t>
                  </w:r>
                  <w:proofErr w:type="spellEnd"/>
                  <w:r w:rsidRPr="0076741C">
                    <w:rPr>
                      <w:rFonts w:ascii="Calibri" w:hAnsi="Calibri" w:cs="Arial"/>
                      <w:color w:val="28466E"/>
                      <w:lang w:val="en-US" w:eastAsia="en-US"/>
                    </w:rPr>
                    <w:t xml:space="preserve"> Hub (</w:t>
                  </w:r>
                  <w:r w:rsidRPr="0076741C">
                    <w:rPr>
                      <w:rFonts w:ascii="Arial Unicode MS" w:hAnsi="Arial Unicode MS" w:cs="Arial Unicode MS"/>
                      <w:lang w:eastAsia="en-US"/>
                    </w:rPr>
                    <w:t>创绿</w:t>
                  </w:r>
                  <w:r w:rsidRPr="0076741C">
                    <w:rPr>
                      <w:lang w:val="en-US" w:eastAsia="en-US"/>
                    </w:rPr>
                    <w:t xml:space="preserve"> </w:t>
                  </w:r>
                  <w:r w:rsidRPr="0076741C">
                    <w:rPr>
                      <w:rFonts w:ascii="Arial Unicode MS" w:hAnsi="Arial Unicode MS" w:cs="Arial Unicode MS"/>
                      <w:lang w:eastAsia="en-US"/>
                    </w:rPr>
                    <w:t>中心</w:t>
                  </w:r>
                  <w:r w:rsidRPr="0076741C">
                    <w:rPr>
                      <w:rFonts w:ascii="Calibri" w:hAnsi="Calibri" w:cs="Arial"/>
                      <w:color w:val="28466E"/>
                      <w:lang w:val="en-US" w:eastAsia="en-US"/>
                    </w:rPr>
                    <w:t xml:space="preserve">) became the newest member of </w:t>
                  </w:r>
                  <w:proofErr w:type="spellStart"/>
                  <w:r w:rsidRPr="0076741C">
                    <w:rPr>
                      <w:rFonts w:ascii="Calibri" w:hAnsi="Calibri" w:cs="Arial"/>
                      <w:color w:val="28466E"/>
                      <w:lang w:val="en-US" w:eastAsia="en-US"/>
                    </w:rPr>
                    <w:t>BankTrack’s</w:t>
                  </w:r>
                  <w:proofErr w:type="spellEnd"/>
                  <w:r w:rsidRPr="0076741C">
                    <w:rPr>
                      <w:rFonts w:ascii="Calibri" w:hAnsi="Calibri" w:cs="Arial"/>
                      <w:color w:val="28466E"/>
                      <w:lang w:val="en-US" w:eastAsia="en-US"/>
                    </w:rPr>
                    <w:t xml:space="preserve"> network of civil society organizations monitoring the global financial sector.  </w:t>
                  </w:r>
                  <w:proofErr w:type="spellStart"/>
                  <w:r w:rsidRPr="0076741C">
                    <w:rPr>
                      <w:rFonts w:ascii="Calibri" w:hAnsi="Calibri" w:cs="Arial"/>
                      <w:color w:val="28466E"/>
                      <w:lang w:val="en-US" w:eastAsia="en-US"/>
                    </w:rPr>
                    <w:t>Greenovation</w:t>
                  </w:r>
                  <w:proofErr w:type="spellEnd"/>
                  <w:r w:rsidRPr="0076741C">
                    <w:rPr>
                      <w:rFonts w:ascii="Calibri" w:hAnsi="Calibri" w:cs="Arial"/>
                      <w:color w:val="28466E"/>
                      <w:lang w:val="en-US" w:eastAsia="en-US"/>
                    </w:rPr>
                    <w:t xml:space="preserve"> Hub is the second Chinese NGO to join the network, following Kunming-based Green Watershed.  The organization focuses on green finance and China’s overseas investments, among other projects, through innovative public awareness </w:t>
                  </w:r>
                  <w:proofErr w:type="gramStart"/>
                  <w:r w:rsidRPr="0076741C">
                    <w:rPr>
                      <w:rFonts w:ascii="Calibri" w:hAnsi="Calibri" w:cs="Arial"/>
                      <w:color w:val="28466E"/>
                      <w:lang w:val="en-US" w:eastAsia="en-US"/>
                    </w:rPr>
                    <w:t>raising</w:t>
                  </w:r>
                  <w:proofErr w:type="gramEnd"/>
                  <w:r w:rsidRPr="0076741C">
                    <w:rPr>
                      <w:rFonts w:ascii="Calibri" w:hAnsi="Calibri" w:cs="Arial"/>
                      <w:color w:val="28466E"/>
                      <w:lang w:val="en-US" w:eastAsia="en-US"/>
                    </w:rPr>
                    <w:t xml:space="preserve"> and capacity building projects.  For example, </w:t>
                  </w:r>
                  <w:proofErr w:type="spellStart"/>
                  <w:r w:rsidRPr="0076741C">
                    <w:rPr>
                      <w:rFonts w:ascii="Calibri" w:hAnsi="Calibri" w:cs="Arial"/>
                      <w:color w:val="28466E"/>
                      <w:lang w:val="en-US" w:eastAsia="en-US"/>
                    </w:rPr>
                    <w:t>Greenovation</w:t>
                  </w:r>
                  <w:proofErr w:type="spellEnd"/>
                  <w:r w:rsidRPr="0076741C">
                    <w:rPr>
                      <w:rFonts w:ascii="Calibri" w:hAnsi="Calibri" w:cs="Arial"/>
                      <w:color w:val="28466E"/>
                      <w:lang w:val="en-US" w:eastAsia="en-US"/>
                    </w:rPr>
                    <w:t xml:space="preserve"> Hub recently held a forum on “Understanding the resource curse in Africa and its implications for Chinese investments" in Beijing.  The workshop, part of the organization’s newly developed learning and sharing scheme, hoped to stimulate discussion among a Chinese audience, including reflections on China’s investments in Africa to date, and prospects for the future.  Speakers included Zhang </w:t>
                  </w:r>
                  <w:proofErr w:type="spellStart"/>
                  <w:r w:rsidRPr="0076741C">
                    <w:rPr>
                      <w:rFonts w:ascii="Calibri" w:hAnsi="Calibri" w:cs="Arial"/>
                      <w:color w:val="28466E"/>
                      <w:lang w:val="en-US" w:eastAsia="en-US"/>
                    </w:rPr>
                    <w:t>Chunyu</w:t>
                  </w:r>
                  <w:proofErr w:type="spellEnd"/>
                  <w:r w:rsidRPr="0076741C">
                    <w:rPr>
                      <w:rFonts w:ascii="Calibri" w:hAnsi="Calibri" w:cs="Arial"/>
                      <w:color w:val="28466E"/>
                      <w:lang w:val="en-US" w:eastAsia="en-US"/>
                    </w:rPr>
                    <w:t xml:space="preserve">, Research Fellow at the Institute of World Economics and Politics of the Chinese Academy of Science and Grace </w:t>
                  </w:r>
                  <w:proofErr w:type="spellStart"/>
                  <w:r w:rsidRPr="0076741C">
                    <w:rPr>
                      <w:rFonts w:ascii="Calibri" w:hAnsi="Calibri" w:cs="Arial"/>
                      <w:color w:val="28466E"/>
                      <w:lang w:val="en-US" w:eastAsia="en-US"/>
                    </w:rPr>
                    <w:t>Mang</w:t>
                  </w:r>
                  <w:proofErr w:type="spellEnd"/>
                  <w:r w:rsidRPr="0076741C">
                    <w:rPr>
                      <w:rFonts w:ascii="Calibri" w:hAnsi="Calibri" w:cs="Arial"/>
                      <w:color w:val="28466E"/>
                      <w:lang w:val="en-US" w:eastAsia="en-US"/>
                    </w:rPr>
                    <w:t xml:space="preserve">, China Program Director at International Rivers.  Contact Ms. BAI </w:t>
                  </w:r>
                  <w:proofErr w:type="spellStart"/>
                  <w:r w:rsidRPr="0076741C">
                    <w:rPr>
                      <w:rFonts w:ascii="Calibri" w:hAnsi="Calibri" w:cs="Arial"/>
                      <w:color w:val="28466E"/>
                      <w:lang w:val="en-US" w:eastAsia="en-US"/>
                    </w:rPr>
                    <w:t>Yunwen</w:t>
                  </w:r>
                  <w:proofErr w:type="spellEnd"/>
                  <w:r w:rsidRPr="0076741C">
                    <w:rPr>
                      <w:rFonts w:ascii="Calibri" w:hAnsi="Calibri" w:cs="Arial"/>
                      <w:color w:val="28466E"/>
                      <w:lang w:val="en-US" w:eastAsia="en-US"/>
                    </w:rPr>
                    <w:t xml:space="preserve"> or Ms. YU Yin for more information.</w:t>
                  </w:r>
                </w:p>
                <w:p w:rsidR="0076741C" w:rsidRPr="0076741C" w:rsidRDefault="0076741C" w:rsidP="0076741C">
                  <w:pPr>
                    <w:spacing w:after="60"/>
                    <w:jc w:val="both"/>
                    <w:rPr>
                      <w:lang w:val="en-US" w:eastAsia="en-US"/>
                    </w:rPr>
                  </w:pPr>
                  <w:r w:rsidRPr="0076741C">
                    <w:rPr>
                      <w:rFonts w:ascii="Calibri" w:hAnsi="Calibri" w:cs="Arial"/>
                      <w:color w:val="28466E"/>
                      <w:lang w:val="en-US" w:eastAsia="en-US"/>
                    </w:rPr>
                    <w:t> </w:t>
                  </w:r>
                </w:p>
                <w:p w:rsidR="0076741C" w:rsidRPr="0076741C" w:rsidRDefault="0076741C" w:rsidP="0076741C">
                  <w:pPr>
                    <w:spacing w:before="100" w:beforeAutospacing="1" w:after="100" w:afterAutospacing="1"/>
                    <w:jc w:val="both"/>
                    <w:rPr>
                      <w:lang w:val="en-US" w:eastAsia="en-US"/>
                    </w:rPr>
                  </w:pPr>
                  <w:r w:rsidRPr="0076741C">
                    <w:rPr>
                      <w:rFonts w:ascii="Calibri" w:hAnsi="Calibri" w:cs="Arial"/>
                      <w:b/>
                      <w:color w:val="28466E"/>
                      <w:lang w:val="en-US" w:eastAsia="en-US"/>
                    </w:rPr>
                    <w:t>8. Friends of the Earth-US holds investor briefings on the ESG risks of CNPC</w:t>
                  </w:r>
                </w:p>
                <w:p w:rsidR="0076741C" w:rsidRPr="0076741C" w:rsidRDefault="0076741C" w:rsidP="0076741C">
                  <w:pPr>
                    <w:spacing w:before="100" w:beforeAutospacing="1" w:after="100" w:afterAutospacing="1"/>
                    <w:jc w:val="both"/>
                    <w:rPr>
                      <w:lang w:val="en-US" w:eastAsia="en-US"/>
                    </w:rPr>
                  </w:pPr>
                  <w:r w:rsidRPr="0076741C">
                    <w:rPr>
                      <w:rFonts w:ascii="Calibri" w:hAnsi="Calibri" w:cs="Arial"/>
                      <w:color w:val="28466E"/>
                      <w:lang w:val="en-US" w:eastAsia="en-US"/>
                    </w:rPr>
                    <w:t xml:space="preserve">In February and April, Friends of the Earth-US briefed investors on the environmental and social risks associated with NYSE-listed </w:t>
                  </w:r>
                  <w:proofErr w:type="spellStart"/>
                  <w:r w:rsidRPr="0076741C">
                    <w:rPr>
                      <w:rFonts w:ascii="Calibri" w:hAnsi="Calibri" w:cs="Arial"/>
                      <w:color w:val="28466E"/>
                      <w:lang w:val="en-US" w:eastAsia="en-US"/>
                    </w:rPr>
                    <w:t>PetroChina</w:t>
                  </w:r>
                  <w:proofErr w:type="spellEnd"/>
                  <w:r w:rsidRPr="0076741C">
                    <w:rPr>
                      <w:rFonts w:ascii="Calibri" w:hAnsi="Calibri" w:cs="Arial"/>
                      <w:color w:val="28466E"/>
                      <w:lang w:val="en-US" w:eastAsia="en-US"/>
                    </w:rPr>
                    <w:t xml:space="preserve"> and its parent company, the China National Petroleum Corporation (CNPC).  Members of the International Working Group of the US-SIF (social investment forum) and the Sudan Engagement Group of the United Nations Principles for Responsible Investments heard an overview of Friends of the Earth’s report, Crude Beginnings: An assessment of China National Petroleum Corporation’s environmental and social performance abroad, detailing the state of CNPC's environmental and social policies and practices across its global portfolio. The report describes CNPC's global expansion, including the growing overseas activities of CNPC subsidiary </w:t>
                  </w:r>
                  <w:proofErr w:type="spellStart"/>
                  <w:r w:rsidRPr="0076741C">
                    <w:rPr>
                      <w:rFonts w:ascii="Calibri" w:hAnsi="Calibri" w:cs="Arial"/>
                      <w:color w:val="28466E"/>
                      <w:lang w:val="en-US" w:eastAsia="en-US"/>
                    </w:rPr>
                    <w:t>PetroChina</w:t>
                  </w:r>
                  <w:proofErr w:type="spellEnd"/>
                  <w:r w:rsidRPr="0076741C">
                    <w:rPr>
                      <w:rFonts w:ascii="Calibri" w:hAnsi="Calibri" w:cs="Arial"/>
                      <w:color w:val="28466E"/>
                      <w:lang w:val="en-US" w:eastAsia="en-US"/>
                    </w:rPr>
                    <w:t xml:space="preserve">; provides information about the company's internal social and environmental governance systems; and describes the influence of the Chinese government and other stakeholders (including investors) over the firm. It also reviews the company's overseas performance across a range of ESG issues, and includes specific case studies from Burma, Kazakhstan, Iraq, Peru, Russia and Sudan. </w:t>
                  </w:r>
                </w:p>
                <w:p w:rsidR="0076741C" w:rsidRPr="0076741C" w:rsidRDefault="0076741C" w:rsidP="0076741C">
                  <w:pPr>
                    <w:spacing w:after="60"/>
                    <w:jc w:val="both"/>
                    <w:rPr>
                      <w:lang w:val="en-US" w:eastAsia="en-US"/>
                    </w:rPr>
                  </w:pPr>
                  <w:r w:rsidRPr="0076741C">
                    <w:rPr>
                      <w:rFonts w:ascii="Calibri" w:hAnsi="Calibri" w:cs="Arial"/>
                      <w:color w:val="28466E"/>
                      <w:lang w:val="en-US" w:eastAsia="en-US"/>
                    </w:rPr>
                    <w:t>The research was based on official company sources, as well on personal interviews with researchers affiliated with the company itself, Chinese academics, corporate social responsibility consultants in China, and representatives from non-governmental organizations and multi-stakeholder initiatives.  A copy of the investor brief is available on the FOE-US website.</w:t>
                  </w:r>
                </w:p>
              </w:tc>
            </w:tr>
          </w:tbl>
          <w:p w:rsidR="0076741C" w:rsidRPr="0076741C" w:rsidRDefault="0076741C" w:rsidP="0076741C">
            <w:pPr>
              <w:rPr>
                <w:lang w:val="en-US" w:eastAsia="en-US"/>
              </w:rPr>
            </w:pPr>
          </w:p>
        </w:tc>
      </w:tr>
      <w:tr w:rsidR="0076741C" w:rsidRPr="0076741C" w:rsidTr="0076741C">
        <w:trPr>
          <w:tblCellSpacing w:w="15" w:type="dxa"/>
          <w:jc w:val="center"/>
        </w:trPr>
        <w:tc>
          <w:tcPr>
            <w:tcW w:w="11154" w:type="dxa"/>
            <w:shd w:val="clear" w:color="auto" w:fill="E7EDF5"/>
            <w:hideMark/>
          </w:tcPr>
          <w:tbl>
            <w:tblPr>
              <w:tblW w:w="5000" w:type="pct"/>
              <w:tblCellSpacing w:w="0" w:type="dxa"/>
              <w:tblLayout w:type="fixed"/>
              <w:tblCellMar>
                <w:top w:w="300" w:type="dxa"/>
                <w:left w:w="300" w:type="dxa"/>
                <w:bottom w:w="300" w:type="dxa"/>
                <w:right w:w="300" w:type="dxa"/>
              </w:tblCellMar>
              <w:tblLook w:val="04A0" w:firstRow="1" w:lastRow="0" w:firstColumn="1" w:lastColumn="0" w:noHBand="0" w:noVBand="1"/>
            </w:tblPr>
            <w:tblGrid>
              <w:gridCol w:w="11160"/>
            </w:tblGrid>
            <w:tr w:rsidR="0076741C" w:rsidRPr="0076741C">
              <w:trPr>
                <w:tblCellSpacing w:w="0" w:type="dxa"/>
              </w:trPr>
              <w:tc>
                <w:tcPr>
                  <w:tcW w:w="11235" w:type="dxa"/>
                  <w:hideMark/>
                </w:tcPr>
                <w:p w:rsidR="0076741C" w:rsidRPr="0076741C" w:rsidRDefault="0076741C" w:rsidP="0076741C">
                  <w:pPr>
                    <w:spacing w:before="100" w:beforeAutospacing="1" w:after="100" w:afterAutospacing="1"/>
                    <w:outlineLvl w:val="0"/>
                    <w:rPr>
                      <w:b/>
                      <w:bCs/>
                      <w:kern w:val="36"/>
                      <w:sz w:val="48"/>
                      <w:szCs w:val="48"/>
                      <w:lang w:val="en-US" w:eastAsia="en-US"/>
                    </w:rPr>
                  </w:pPr>
                  <w:bookmarkStart w:id="7" w:name="4"/>
                  <w:bookmarkStart w:id="8" w:name="_Toc313578783"/>
                  <w:bookmarkEnd w:id="7"/>
                  <w:r w:rsidRPr="0076741C">
                    <w:rPr>
                      <w:rFonts w:ascii="Calibri" w:hAnsi="Calibri" w:cs="Calibri"/>
                      <w:b/>
                      <w:bCs/>
                      <w:color w:val="28466E"/>
                      <w:kern w:val="36"/>
                      <w:sz w:val="28"/>
                      <w:szCs w:val="28"/>
                      <w:lang w:val="en-US" w:eastAsia="en-US"/>
                    </w:rPr>
                    <w:t>INTERNATIONAL COOPERATION AND DEVELOPMENTS IN SUSTAINABILITY</w:t>
                  </w:r>
                  <w:bookmarkEnd w:id="8"/>
                  <w:r w:rsidRPr="0076741C">
                    <w:rPr>
                      <w:rFonts w:ascii="Calibri" w:hAnsi="Calibri" w:cs="Calibri"/>
                      <w:b/>
                      <w:bCs/>
                      <w:color w:val="28466E"/>
                      <w:kern w:val="36"/>
                      <w:sz w:val="28"/>
                      <w:szCs w:val="28"/>
                      <w:lang w:val="en-US" w:eastAsia="en-US"/>
                    </w:rPr>
                    <w:t xml:space="preserve"> </w:t>
                  </w:r>
                </w:p>
                <w:p w:rsidR="0076741C" w:rsidRPr="0076741C" w:rsidRDefault="0076741C" w:rsidP="0076741C">
                  <w:pPr>
                    <w:spacing w:before="100" w:beforeAutospacing="1" w:after="100" w:afterAutospacing="1"/>
                    <w:jc w:val="both"/>
                    <w:rPr>
                      <w:lang w:val="en-US" w:eastAsia="en-US"/>
                    </w:rPr>
                  </w:pPr>
                  <w:r w:rsidRPr="0076741C">
                    <w:rPr>
                      <w:lang w:val="en-US" w:eastAsia="en-US"/>
                    </w:rPr>
                    <w:br/>
                  </w:r>
                  <w:r w:rsidRPr="0076741C">
                    <w:rPr>
                      <w:rFonts w:ascii="Calibri" w:hAnsi="Calibri" w:cs="Calibri"/>
                      <w:b/>
                      <w:color w:val="28466E"/>
                      <w:lang w:val="en-GB" w:eastAsia="en-US"/>
                    </w:rPr>
                    <w:t xml:space="preserve">9. China Social Investment Forum launched with help of </w:t>
                  </w:r>
                  <w:proofErr w:type="spellStart"/>
                  <w:r w:rsidRPr="0076741C">
                    <w:rPr>
                      <w:rFonts w:ascii="Calibri" w:hAnsi="Calibri" w:cs="Calibri"/>
                      <w:b/>
                      <w:color w:val="28466E"/>
                      <w:lang w:val="en-GB" w:eastAsia="en-US"/>
                    </w:rPr>
                    <w:t>ASrIA</w:t>
                  </w:r>
                  <w:proofErr w:type="spellEnd"/>
                  <w:r w:rsidRPr="0076741C">
                    <w:rPr>
                      <w:rFonts w:ascii="Calibri" w:hAnsi="Calibri" w:cs="Calibri"/>
                      <w:b/>
                      <w:color w:val="28466E"/>
                      <w:lang w:val="en-GB" w:eastAsia="en-US"/>
                    </w:rPr>
                    <w:t xml:space="preserve"> and </w:t>
                  </w:r>
                  <w:proofErr w:type="spellStart"/>
                  <w:r w:rsidRPr="0076741C">
                    <w:rPr>
                      <w:rFonts w:ascii="Calibri" w:hAnsi="Calibri" w:cs="Calibri"/>
                      <w:b/>
                      <w:color w:val="28466E"/>
                      <w:lang w:val="en-GB" w:eastAsia="en-US"/>
                    </w:rPr>
                    <w:t>TruCost</w:t>
                  </w:r>
                  <w:proofErr w:type="spellEnd"/>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color w:val="28466E"/>
                      <w:lang w:val="en-GB" w:eastAsia="en-US"/>
                    </w:rPr>
                    <w:t xml:space="preserve">In February, </w:t>
                  </w:r>
                  <w:proofErr w:type="spellStart"/>
                  <w:r w:rsidRPr="0076741C">
                    <w:rPr>
                      <w:rFonts w:ascii="Calibri" w:hAnsi="Calibri" w:cs="Calibri"/>
                      <w:color w:val="28466E"/>
                      <w:lang w:val="en-GB" w:eastAsia="en-US"/>
                    </w:rPr>
                    <w:t>Syntao</w:t>
                  </w:r>
                  <w:proofErr w:type="spellEnd"/>
                  <w:r w:rsidRPr="0076741C">
                    <w:rPr>
                      <w:rFonts w:ascii="Calibri" w:hAnsi="Calibri" w:cs="Calibri"/>
                      <w:color w:val="28466E"/>
                      <w:lang w:val="en-GB" w:eastAsia="en-US"/>
                    </w:rPr>
                    <w:t xml:space="preserve"> Co. Ltd., a Chinese CSR consultancy, and the CSR Research </w:t>
                  </w:r>
                  <w:proofErr w:type="spellStart"/>
                  <w:r w:rsidRPr="0076741C">
                    <w:rPr>
                      <w:rFonts w:ascii="Calibri" w:hAnsi="Calibri" w:cs="Calibri"/>
                      <w:color w:val="28466E"/>
                      <w:lang w:val="en-GB" w:eastAsia="en-US"/>
                    </w:rPr>
                    <w:t>Center</w:t>
                  </w:r>
                  <w:proofErr w:type="spellEnd"/>
                  <w:r w:rsidRPr="0076741C">
                    <w:rPr>
                      <w:rFonts w:ascii="Calibri" w:hAnsi="Calibri" w:cs="Calibri"/>
                      <w:color w:val="28466E"/>
                      <w:lang w:val="en-GB" w:eastAsia="en-US"/>
                    </w:rPr>
                    <w:t xml:space="preserve"> of the Securities Times, an official publication affiliated with the China Securities Regulatory Commission (CSRC), launched the China Social Investment Forum.  In the tradition of similar forums in the United States, United Kingdom and Europe, the China SIF will provide a platform to discuss socially responsible investing within Chinese stock markets by inviting domestic and foreign industry experts to make presentations.  During the inaugural event, experts from </w:t>
                  </w:r>
                  <w:proofErr w:type="spellStart"/>
                  <w:r w:rsidRPr="0076741C">
                    <w:rPr>
                      <w:rFonts w:ascii="Calibri" w:hAnsi="Calibri" w:cs="Calibri"/>
                      <w:color w:val="28466E"/>
                      <w:lang w:val="en-GB" w:eastAsia="en-US"/>
                    </w:rPr>
                    <w:t>ASrIA</w:t>
                  </w:r>
                  <w:proofErr w:type="spellEnd"/>
                  <w:r w:rsidRPr="0076741C">
                    <w:rPr>
                      <w:rFonts w:ascii="Calibri" w:hAnsi="Calibri" w:cs="Calibri"/>
                      <w:color w:val="28466E"/>
                      <w:lang w:val="en-GB" w:eastAsia="en-US"/>
                    </w:rPr>
                    <w:t xml:space="preserve"> (the Association for Sustainable &amp; Responsible Investment in Asia) and </w:t>
                  </w:r>
                  <w:proofErr w:type="spellStart"/>
                  <w:r w:rsidRPr="0076741C">
                    <w:rPr>
                      <w:rFonts w:ascii="Calibri" w:hAnsi="Calibri" w:cs="Calibri"/>
                      <w:color w:val="28466E"/>
                      <w:lang w:val="en-GB" w:eastAsia="en-US"/>
                    </w:rPr>
                    <w:t>Trucost</w:t>
                  </w:r>
                  <w:proofErr w:type="spellEnd"/>
                  <w:r w:rsidRPr="0076741C">
                    <w:rPr>
                      <w:rFonts w:ascii="Calibri" w:hAnsi="Calibri" w:cs="Calibri"/>
                      <w:color w:val="28466E"/>
                      <w:lang w:val="en-GB" w:eastAsia="en-US"/>
                    </w:rPr>
                    <w:t xml:space="preserve"> shared their opinions on a Chinese medicine company seeking an initial public offering on the Shenzhen Stock Exchange.  The company, </w:t>
                  </w:r>
                  <w:proofErr w:type="spellStart"/>
                  <w:r w:rsidRPr="0076741C">
                    <w:rPr>
                      <w:rFonts w:ascii="Calibri" w:hAnsi="Calibri" w:cs="Calibri"/>
                      <w:color w:val="28466E"/>
                      <w:lang w:val="en-GB" w:eastAsia="en-US"/>
                    </w:rPr>
                    <w:t>Guizhentang</w:t>
                  </w:r>
                  <w:proofErr w:type="spellEnd"/>
                  <w:r w:rsidRPr="0076741C">
                    <w:rPr>
                      <w:rFonts w:ascii="Calibri" w:hAnsi="Calibri" w:cs="Calibri"/>
                      <w:color w:val="28466E"/>
                      <w:lang w:val="en-GB" w:eastAsia="en-US"/>
                    </w:rPr>
                    <w:t xml:space="preserve"> Pharmaceutical Co. Ltd., sells tonics made with bear bile and has been accused by animal rights groups of cruelty against bears as a result. More information about China SIF is available from </w:t>
                  </w:r>
                  <w:proofErr w:type="spellStart"/>
                  <w:r w:rsidRPr="0076741C">
                    <w:rPr>
                      <w:rFonts w:ascii="Calibri" w:hAnsi="Calibri" w:cs="Calibri"/>
                      <w:color w:val="28466E"/>
                      <w:lang w:val="en-GB" w:eastAsia="en-US"/>
                    </w:rPr>
                    <w:t>Syntao</w:t>
                  </w:r>
                  <w:proofErr w:type="spellEnd"/>
                  <w:r w:rsidRPr="0076741C">
                    <w:rPr>
                      <w:rFonts w:ascii="Calibri" w:hAnsi="Calibri" w:cs="Calibri"/>
                      <w:color w:val="28466E"/>
                      <w:lang w:val="en-GB" w:eastAsia="en-US"/>
                    </w:rPr>
                    <w:t xml:space="preserve"> Co. Ltd.</w:t>
                  </w:r>
                </w:p>
                <w:p w:rsidR="0076741C" w:rsidRPr="0076741C" w:rsidRDefault="0076741C" w:rsidP="0076741C">
                  <w:pPr>
                    <w:spacing w:before="100" w:beforeAutospacing="1" w:after="100" w:afterAutospacing="1"/>
                    <w:jc w:val="both"/>
                    <w:rPr>
                      <w:lang w:val="en-US" w:eastAsia="en-US"/>
                    </w:rPr>
                  </w:pPr>
                  <w:r w:rsidRPr="0076741C">
                    <w:rPr>
                      <w:rFonts w:ascii="Calibri" w:hAnsi="Calibri" w:cs="Calibri"/>
                      <w:b/>
                      <w:color w:val="28466E"/>
                      <w:lang w:val="en-GB" w:eastAsia="en-US"/>
                    </w:rPr>
                    <w:t>10. CCICED makes recommendations to the State Council on investment and trade</w:t>
                  </w:r>
                </w:p>
                <w:p w:rsidR="0076741C" w:rsidRPr="0076741C" w:rsidRDefault="0076741C" w:rsidP="0076741C">
                  <w:pPr>
                    <w:spacing w:after="60"/>
                    <w:jc w:val="both"/>
                    <w:rPr>
                      <w:lang w:val="en-US" w:eastAsia="en-US"/>
                    </w:rPr>
                  </w:pPr>
                  <w:r w:rsidRPr="0076741C">
                    <w:rPr>
                      <w:rFonts w:ascii="Calibri" w:hAnsi="Calibri" w:cs="Calibri"/>
                      <w:color w:val="28466E"/>
                      <w:lang w:val="en-GB" w:eastAsia="en-US"/>
                    </w:rPr>
                    <w:t>The Task Force on Investment, Trade and Environment of the China Council for International Cooperation on Environment and Development (CCICED), a panel of international experts providing advice to the State Council on China’s development, released the findings of its 2011 annual general meeting and research on the impact of China’s trade and investment overseas.  The research project sought to “describe the current state of Chinese international trade and investment activities, and understand how they affect the drive toward China’s sustainable development and green shift goals.”  The executive summary of the report is available here.</w:t>
                  </w:r>
                </w:p>
                <w:p w:rsidR="0076741C" w:rsidRPr="0076741C" w:rsidRDefault="0076741C" w:rsidP="0076741C">
                  <w:pPr>
                    <w:spacing w:after="60"/>
                    <w:jc w:val="both"/>
                    <w:rPr>
                      <w:lang w:val="en-US" w:eastAsia="en-US"/>
                    </w:rPr>
                  </w:pPr>
                  <w:r w:rsidRPr="0076741C">
                    <w:rPr>
                      <w:lang w:val="en-GB" w:eastAsia="en-US"/>
                    </w:rPr>
                    <w:t> </w:t>
                  </w:r>
                </w:p>
              </w:tc>
            </w:tr>
          </w:tbl>
          <w:p w:rsidR="0076741C" w:rsidRPr="0076741C" w:rsidRDefault="0076741C" w:rsidP="0076741C">
            <w:pPr>
              <w:rPr>
                <w:lang w:val="en-US" w:eastAsia="en-US"/>
              </w:rPr>
            </w:pPr>
          </w:p>
        </w:tc>
      </w:tr>
      <w:tr w:rsidR="0076741C" w:rsidRPr="0076741C" w:rsidTr="0076741C">
        <w:trPr>
          <w:tblCellSpacing w:w="15" w:type="dxa"/>
          <w:jc w:val="center"/>
        </w:trPr>
        <w:tc>
          <w:tcPr>
            <w:tcW w:w="11154" w:type="dxa"/>
            <w:shd w:val="clear" w:color="auto" w:fill="FFFFFF"/>
            <w:hideMark/>
          </w:tcPr>
          <w:p w:rsidR="0076741C" w:rsidRPr="0076741C" w:rsidRDefault="0076741C" w:rsidP="0076741C">
            <w:pPr>
              <w:rPr>
                <w:lang w:val="en-US" w:eastAsia="en-US"/>
              </w:rPr>
            </w:pPr>
            <w:bookmarkStart w:id="9" w:name="5"/>
            <w:bookmarkEnd w:id="9"/>
            <w:r w:rsidRPr="0076741C">
              <w:rPr>
                <w:rFonts w:ascii="Calibri" w:hAnsi="Calibri" w:cs="Arial"/>
                <w:i/>
                <w:color w:val="666666"/>
                <w:lang w:val="en-US" w:eastAsia="en-US"/>
              </w:rPr>
              <w:t> </w:t>
            </w:r>
          </w:p>
        </w:tc>
      </w:tr>
      <w:tr w:rsidR="0076741C" w:rsidRPr="00F06D70" w:rsidTr="0076741C">
        <w:trPr>
          <w:trHeight w:val="2055"/>
          <w:tblCellSpacing w:w="15" w:type="dxa"/>
          <w:jc w:val="center"/>
        </w:trPr>
        <w:tc>
          <w:tcPr>
            <w:tcW w:w="11154" w:type="dxa"/>
            <w:shd w:val="clear" w:color="auto" w:fill="FFFFFF"/>
            <w:vAlign w:val="center"/>
            <w:hideMark/>
          </w:tcPr>
          <w:tbl>
            <w:tblPr>
              <w:tblW w:w="0" w:type="auto"/>
              <w:tblLayout w:type="fixed"/>
              <w:tblCellMar>
                <w:top w:w="300" w:type="dxa"/>
                <w:left w:w="300" w:type="dxa"/>
                <w:bottom w:w="300" w:type="dxa"/>
                <w:right w:w="300" w:type="dxa"/>
              </w:tblCellMar>
              <w:tblLook w:val="04A0" w:firstRow="1" w:lastRow="0" w:firstColumn="1" w:lastColumn="0" w:noHBand="0" w:noVBand="1"/>
            </w:tblPr>
            <w:tblGrid>
              <w:gridCol w:w="5599"/>
              <w:gridCol w:w="5588"/>
            </w:tblGrid>
            <w:tr w:rsidR="0076741C" w:rsidRPr="00F06D70">
              <w:tc>
                <w:tcPr>
                  <w:tcW w:w="5599" w:type="dxa"/>
                  <w:shd w:val="clear" w:color="auto" w:fill="EFF5FA"/>
                  <w:hideMark/>
                </w:tcPr>
                <w:p w:rsidR="0076741C" w:rsidRPr="0076741C" w:rsidRDefault="0076741C" w:rsidP="0076741C">
                  <w:pPr>
                    <w:spacing w:before="100" w:beforeAutospacing="1" w:after="100" w:afterAutospacing="1"/>
                    <w:rPr>
                      <w:lang w:val="en-US" w:eastAsia="en-US"/>
                    </w:rPr>
                  </w:pPr>
                  <w:r>
                    <w:rPr>
                      <w:rFonts w:ascii="Calibri" w:hAnsi="Calibri" w:cs="Calibri"/>
                      <w:noProof/>
                      <w:sz w:val="20"/>
                      <w:szCs w:val="20"/>
                      <w:lang w:val="en-US" w:eastAsia="en-US"/>
                    </w:rPr>
                    <mc:AlternateContent>
                      <mc:Choice Requires="wps">
                        <w:drawing>
                          <wp:inline distT="0" distB="0" distL="0" distR="0">
                            <wp:extent cx="1133475" cy="171450"/>
                            <wp:effectExtent l="0" t="0" r="0" b="0"/>
                            <wp:docPr id="2" name="Rectangle 2" descr="Description: iaza1568192901830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escription: iaza15681929018300a" style="width:89.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" filled="f" stroked="f">
                            <o:lock v:ext="edit" aspectratio="t"/>
                            <w10:anchorlock/>
                          </v:rect>
                        </w:pict>
                      </mc:Fallback>
                    </mc:AlternateContent>
                  </w:r>
                  <w:r w:rsidRPr="0076741C">
                    <w:rPr>
                      <w:rFonts w:ascii="Calibri" w:hAnsi="Calibri" w:cs="Calibri"/>
                      <w:sz w:val="20"/>
                      <w:szCs w:val="20"/>
                      <w:lang w:val="en-US" w:eastAsia="en-US"/>
                    </w:rPr>
                    <w:t xml:space="preserve">  </w:t>
                  </w:r>
                </w:p>
                <w:p w:rsidR="0076741C" w:rsidRPr="0076741C" w:rsidRDefault="0076741C" w:rsidP="0076741C">
                  <w:pPr>
                    <w:spacing w:before="100" w:beforeAutospacing="1" w:after="100" w:afterAutospacing="1"/>
                    <w:rPr>
                      <w:lang w:val="en-US" w:eastAsia="en-US"/>
                    </w:rPr>
                  </w:pPr>
                  <w:r w:rsidRPr="0076741C">
                    <w:rPr>
                      <w:rFonts w:ascii="Calibri" w:hAnsi="Calibri" w:cs="Calibri"/>
                      <w:sz w:val="20"/>
                      <w:szCs w:val="20"/>
                      <w:lang w:val="en-US" w:eastAsia="en-US"/>
                    </w:rPr>
                    <w:t xml:space="preserve">BankTrack  </w:t>
                  </w:r>
                  <w:r w:rsidR="00F06D70">
                    <w:fldChar w:fldCharType="begin"/>
                  </w:r>
                  <w:r w:rsidR="00F06D70" w:rsidRPr="00F06D70">
                    <w:rPr>
                      <w:lang w:val="en-US"/>
                    </w:rPr>
                    <w:instrText xml:space="preserve"> HYPERLINK "http://www.banktrack.org" </w:instrText>
                  </w:r>
                  <w:r w:rsidR="00F06D70">
                    <w:fldChar w:fldCharType="separate"/>
                  </w:r>
                  <w:r w:rsidRPr="0076741C">
                    <w:rPr>
                      <w:rFonts w:ascii="Calibri" w:hAnsi="Calibri" w:cs="Calibri"/>
                      <w:color w:val="0000FF"/>
                      <w:sz w:val="20"/>
                      <w:szCs w:val="20"/>
                      <w:u w:val="single"/>
                      <w:lang w:val="en-US" w:eastAsia="en-US"/>
                    </w:rPr>
                    <w:t>www.banktrack.org</w:t>
                  </w:r>
                  <w:r w:rsidR="00F06D70">
                    <w:rPr>
                      <w:rFonts w:ascii="Calibri" w:hAnsi="Calibri" w:cs="Calibri"/>
                      <w:color w:val="0000FF"/>
                      <w:sz w:val="20"/>
                      <w:szCs w:val="20"/>
                      <w:u w:val="single"/>
                      <w:lang w:val="en-US" w:eastAsia="en-US"/>
                    </w:rPr>
                    <w:fldChar w:fldCharType="end"/>
                  </w:r>
                  <w:r w:rsidRPr="0076741C">
                    <w:rPr>
                      <w:rFonts w:ascii="Calibri" w:hAnsi="Calibri" w:cs="Calibri"/>
                      <w:sz w:val="20"/>
                      <w:szCs w:val="20"/>
                      <w:lang w:val="en-US" w:eastAsia="en-US"/>
                    </w:rPr>
                    <w:br/>
                  </w:r>
                  <w:proofErr w:type="spellStart"/>
                  <w:r w:rsidRPr="0076741C">
                    <w:rPr>
                      <w:rFonts w:ascii="Calibri" w:hAnsi="Calibri" w:cs="Calibri"/>
                      <w:sz w:val="20"/>
                      <w:szCs w:val="20"/>
                      <w:lang w:val="en-US" w:eastAsia="en-US"/>
                    </w:rPr>
                    <w:t>Vismarkt</w:t>
                  </w:r>
                  <w:proofErr w:type="spellEnd"/>
                  <w:r w:rsidRPr="0076741C">
                    <w:rPr>
                      <w:rFonts w:ascii="Calibri" w:hAnsi="Calibri" w:cs="Calibri"/>
                      <w:sz w:val="20"/>
                      <w:szCs w:val="20"/>
                      <w:lang w:val="en-US" w:eastAsia="en-US"/>
                    </w:rPr>
                    <w:t xml:space="preserve"> 15, 6511 VJ, Nijmegen, the Netherlands</w:t>
                  </w:r>
                  <w:r w:rsidRPr="0076741C">
                    <w:rPr>
                      <w:rFonts w:ascii="Calibri" w:hAnsi="Calibri" w:cs="Calibri"/>
                      <w:sz w:val="20"/>
                      <w:szCs w:val="20"/>
                      <w:lang w:val="en-US" w:eastAsia="en-US"/>
                    </w:rPr>
                    <w:br/>
                    <w:t xml:space="preserve">(t)+31 24 3249220 </w:t>
                  </w:r>
                  <w:r w:rsidRPr="0076741C">
                    <w:rPr>
                      <w:rFonts w:ascii="Calibri" w:hAnsi="Calibri" w:cs="Arial"/>
                      <w:color w:val="28466E"/>
                      <w:sz w:val="20"/>
                      <w:szCs w:val="20"/>
                      <w:lang w:val="en-US" w:eastAsia="en-US"/>
                    </w:rPr>
                    <w:t>/</w:t>
                  </w:r>
                  <w:r w:rsidRPr="0076741C">
                    <w:rPr>
                      <w:rFonts w:ascii="Calibri" w:hAnsi="Calibri" w:cs="Calibri"/>
                      <w:sz w:val="20"/>
                      <w:szCs w:val="20"/>
                      <w:lang w:val="en-US" w:eastAsia="en-US"/>
                    </w:rPr>
                    <w:t xml:space="preserve"> </w:t>
                  </w:r>
                  <w:hyperlink r:id="rId6" w:history="1">
                    <w:r w:rsidRPr="0076741C">
                      <w:rPr>
                        <w:rFonts w:ascii="Calibri" w:hAnsi="Calibri" w:cs="Calibri"/>
                        <w:color w:val="0000FF"/>
                        <w:sz w:val="20"/>
                        <w:szCs w:val="20"/>
                        <w:u w:val="single"/>
                        <w:lang w:val="en-US" w:eastAsia="en-US"/>
                      </w:rPr>
                      <w:t>Contact@BankTrack.org</w:t>
                    </w:r>
                  </w:hyperlink>
                  <w:r w:rsidRPr="0076741C">
                    <w:rPr>
                      <w:rFonts w:ascii="Calibri" w:hAnsi="Calibri" w:cs="Calibri"/>
                      <w:sz w:val="20"/>
                      <w:szCs w:val="20"/>
                      <w:lang w:val="en-US" w:eastAsia="en-US"/>
                    </w:rPr>
                    <w:br/>
                    <w:t xml:space="preserve">Mailing List: </w:t>
                  </w:r>
                  <w:hyperlink r:id="rId7" w:history="1">
                    <w:r w:rsidRPr="0076741C">
                      <w:rPr>
                        <w:rFonts w:ascii="Calibri" w:hAnsi="Calibri" w:cs="Calibri"/>
                        <w:color w:val="0000FF"/>
                        <w:sz w:val="20"/>
                        <w:szCs w:val="20"/>
                        <w:u w:val="single"/>
                        <w:lang w:val="en-US" w:eastAsia="en-US"/>
                      </w:rPr>
                      <w:t>http://www.banktrack.org/show/pages/mailinglist</w:t>
                    </w:r>
                  </w:hyperlink>
                </w:p>
              </w:tc>
              <w:tc>
                <w:tcPr>
                  <w:tcW w:w="5588" w:type="dxa"/>
                  <w:shd w:val="clear" w:color="auto" w:fill="EFF5FA"/>
                  <w:hideMark/>
                </w:tcPr>
                <w:p w:rsidR="0076741C" w:rsidRPr="0076741C" w:rsidRDefault="0076741C" w:rsidP="0076741C">
                  <w:pPr>
                    <w:spacing w:before="100" w:beforeAutospacing="1" w:after="100" w:afterAutospacing="1"/>
                    <w:rPr>
                      <w:lang w:val="en-US" w:eastAsia="en-US"/>
                    </w:rPr>
                  </w:pPr>
                  <w:r>
                    <w:rPr>
                      <w:rFonts w:ascii="Calibri" w:hAnsi="Calibri" w:cs="Calibri"/>
                      <w:noProof/>
                      <w:color w:val="0000FF"/>
                      <w:sz w:val="20"/>
                      <w:szCs w:val="20"/>
                      <w:lang w:val="en-US" w:eastAsia="en-US"/>
                    </w:rPr>
                    <mc:AlternateContent>
                      <mc:Choice Requires="wps">
                        <w:drawing>
                          <wp:inline distT="0" distB="0" distL="0" distR="0">
                            <wp:extent cx="628650" cy="200025"/>
                            <wp:effectExtent l="0" t="0" r="0" b="0"/>
                            <wp:docPr id="1" name="Rectangle 1" descr="Description: FO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escription: FOEa" style="width:49.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" filled="f" stroked="f">
                            <o:lock v:ext="edit" aspectratio="t"/>
                            <w10:anchorlock/>
                          </v:rect>
                        </w:pict>
                      </mc:Fallback>
                    </mc:AlternateContent>
                  </w:r>
                </w:p>
                <w:p w:rsidR="0076741C" w:rsidRPr="0076741C" w:rsidRDefault="0076741C" w:rsidP="0076741C">
                  <w:pPr>
                    <w:spacing w:before="100" w:beforeAutospacing="1" w:after="100" w:afterAutospacing="1"/>
                    <w:rPr>
                      <w:lang w:val="en-US" w:eastAsia="en-US"/>
                    </w:rPr>
                  </w:pPr>
                  <w:r w:rsidRPr="0076741C">
                    <w:rPr>
                      <w:rFonts w:ascii="Calibri" w:hAnsi="Calibri" w:cs="Calibri"/>
                      <w:sz w:val="20"/>
                      <w:szCs w:val="20"/>
                      <w:lang w:val="en-US" w:eastAsia="en-US"/>
                    </w:rPr>
                    <w:t>Friends of the Earth-US  </w:t>
                  </w:r>
                  <w:hyperlink r:id="rId8" w:history="1">
                    <w:r w:rsidRPr="0076741C">
                      <w:rPr>
                        <w:rFonts w:ascii="Calibri" w:hAnsi="Calibri" w:cs="Calibri"/>
                        <w:color w:val="0000FF"/>
                        <w:sz w:val="20"/>
                        <w:szCs w:val="20"/>
                        <w:u w:val="single"/>
                        <w:lang w:val="en-US" w:eastAsia="en-US"/>
                      </w:rPr>
                      <w:t>www.foe.org</w:t>
                    </w:r>
                  </w:hyperlink>
                  <w:r w:rsidRPr="0076741C">
                    <w:rPr>
                      <w:rFonts w:ascii="Calibri" w:hAnsi="Calibri" w:cs="Calibri"/>
                      <w:sz w:val="20"/>
                      <w:szCs w:val="20"/>
                      <w:lang w:val="en-US" w:eastAsia="en-US"/>
                    </w:rPr>
                    <w:br/>
                    <w:t xml:space="preserve">(t)+415.544.0790 x220 / (f)+415.544.0796 </w:t>
                  </w:r>
                  <w:r w:rsidRPr="0076741C">
                    <w:rPr>
                      <w:rFonts w:ascii="Calibri" w:hAnsi="Calibri" w:cs="Calibri"/>
                      <w:sz w:val="20"/>
                      <w:szCs w:val="20"/>
                      <w:lang w:val="en-US" w:eastAsia="en-US"/>
                    </w:rPr>
                    <w:br/>
                    <w:t>311 California St. Suite 510 San Francisco, CA 94104 </w:t>
                  </w:r>
                </w:p>
              </w:tc>
            </w:tr>
          </w:tbl>
          <w:p w:rsidR="0076741C" w:rsidRPr="0076741C" w:rsidRDefault="0076741C" w:rsidP="0076741C">
            <w:pPr>
              <w:rPr>
                <w:lang w:val="en-US" w:eastAsia="en-US"/>
              </w:rPr>
            </w:pPr>
          </w:p>
        </w:tc>
      </w:tr>
      <w:tr w:rsidR="0076741C" w:rsidRPr="00F06D70" w:rsidTr="0076741C">
        <w:trPr>
          <w:trHeight w:val="270"/>
          <w:tblCellSpacing w:w="15" w:type="dxa"/>
          <w:jc w:val="center"/>
        </w:trPr>
        <w:tc>
          <w:tcPr>
            <w:tcW w:w="11154" w:type="dxa"/>
            <w:shd w:val="clear" w:color="auto" w:fill="EFF5FA"/>
            <w:vAlign w:val="center"/>
            <w:hideMark/>
          </w:tcPr>
          <w:p w:rsidR="0076741C" w:rsidRPr="0076741C" w:rsidRDefault="0076741C" w:rsidP="0076741C">
            <w:pPr>
              <w:spacing w:before="100" w:beforeAutospacing="1" w:after="100" w:afterAutospacing="1"/>
              <w:jc w:val="center"/>
              <w:rPr>
                <w:lang w:val="en-US" w:eastAsia="en-US"/>
              </w:rPr>
            </w:pPr>
            <w:r w:rsidRPr="0076741C">
              <w:rPr>
                <w:rFonts w:ascii="Calibri" w:hAnsi="Calibri" w:cs="Calibri"/>
                <w:sz w:val="20"/>
                <w:szCs w:val="20"/>
                <w:lang w:val="en-US" w:eastAsia="en-US"/>
              </w:rPr>
              <w:t>Unsubscribe from this newsletter? Please </w:t>
            </w:r>
            <w:hyperlink r:id="rId9" w:tgtFrame="_blank" w:history="1">
              <w:r w:rsidRPr="0076741C">
                <w:rPr>
                  <w:rFonts w:ascii="Calibri" w:hAnsi="Calibri" w:cs="Calibri"/>
                  <w:color w:val="0000FF"/>
                  <w:sz w:val="20"/>
                  <w:szCs w:val="20"/>
                  <w:u w:val="single"/>
                  <w:lang w:val="en-US" w:eastAsia="en-US"/>
                </w:rPr>
                <w:t>send an email</w:t>
              </w:r>
            </w:hyperlink>
            <w:r w:rsidRPr="0076741C">
              <w:rPr>
                <w:rFonts w:ascii="Calibri" w:hAnsi="Calibri" w:cs="Calibri"/>
                <w:sz w:val="20"/>
                <w:szCs w:val="20"/>
                <w:lang w:val="en-US" w:eastAsia="en-US"/>
              </w:rPr>
              <w:t>.</w:t>
            </w:r>
          </w:p>
        </w:tc>
      </w:tr>
    </w:tbl>
    <w:p w:rsidR="0076741C" w:rsidRPr="0076741C" w:rsidRDefault="0076741C" w:rsidP="0076741C">
      <w:pPr>
        <w:spacing w:before="100" w:beforeAutospacing="1" w:after="100" w:afterAutospacing="1"/>
        <w:rPr>
          <w:lang w:val="en-US" w:eastAsia="en-US"/>
        </w:rPr>
      </w:pPr>
      <w:r w:rsidRPr="0076741C">
        <w:rPr>
          <w:rFonts w:ascii="Calibri" w:hAnsi="Calibri" w:cs="Calibri"/>
          <w:lang w:val="en-US" w:eastAsia="en-US"/>
        </w:rPr>
        <w:t> </w:t>
      </w:r>
    </w:p>
    <w:p w:rsidR="003E4069" w:rsidRPr="0076741C" w:rsidRDefault="003E4069">
      <w:pPr>
        <w:rPr>
          <w:lang w:val="en-US"/>
        </w:rPr>
      </w:pPr>
    </w:p>
    <w:sectPr w:rsidR="003E4069" w:rsidRPr="0076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1C"/>
    <w:rsid w:val="00312A06"/>
    <w:rsid w:val="003E4069"/>
    <w:rsid w:val="005E7A65"/>
    <w:rsid w:val="0076741C"/>
    <w:rsid w:val="00F06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6741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1C"/>
    <w:rPr>
      <w:b/>
      <w:bCs/>
      <w:kern w:val="36"/>
      <w:sz w:val="48"/>
      <w:szCs w:val="48"/>
      <w:lang w:val="en-US" w:eastAsia="en-US"/>
    </w:rPr>
  </w:style>
  <w:style w:type="character" w:styleId="Strong">
    <w:name w:val="Strong"/>
    <w:basedOn w:val="DefaultParagraphFont"/>
    <w:uiPriority w:val="22"/>
    <w:qFormat/>
    <w:rsid w:val="0076741C"/>
    <w:rPr>
      <w:b/>
      <w:bCs/>
    </w:rPr>
  </w:style>
  <w:style w:type="paragraph" w:styleId="NormalWeb">
    <w:name w:val="Normal (Web)"/>
    <w:basedOn w:val="Normal"/>
    <w:uiPriority w:val="99"/>
    <w:unhideWhenUsed/>
    <w:rsid w:val="0076741C"/>
    <w:pPr>
      <w:spacing w:before="100" w:beforeAutospacing="1" w:after="100" w:afterAutospacing="1"/>
    </w:pPr>
    <w:rPr>
      <w:lang w:val="en-US" w:eastAsia="en-US"/>
    </w:rPr>
  </w:style>
  <w:style w:type="character" w:styleId="Hyperlink">
    <w:name w:val="Hyperlink"/>
    <w:basedOn w:val="DefaultParagraphFont"/>
    <w:uiPriority w:val="99"/>
    <w:unhideWhenUsed/>
    <w:rsid w:val="0076741C"/>
  </w:style>
  <w:style w:type="paragraph" w:styleId="TOC1">
    <w:name w:val="toc 1"/>
    <w:basedOn w:val="Normal"/>
    <w:autoRedefine/>
    <w:uiPriority w:val="39"/>
    <w:unhideWhenUsed/>
    <w:rsid w:val="0076741C"/>
    <w:pPr>
      <w:spacing w:before="100" w:beforeAutospacing="1" w:after="100" w:afterAutospacing="1"/>
    </w:pPr>
    <w:rPr>
      <w:lang w:val="en-US" w:eastAsia="en-US"/>
    </w:rPr>
  </w:style>
  <w:style w:type="paragraph" w:styleId="BodyText2">
    <w:name w:val="Body Text 2"/>
    <w:basedOn w:val="Normal"/>
    <w:link w:val="BodyText2Char"/>
    <w:uiPriority w:val="99"/>
    <w:unhideWhenUsed/>
    <w:rsid w:val="0076741C"/>
    <w:pPr>
      <w:spacing w:before="100" w:beforeAutospacing="1" w:after="100" w:afterAutospacing="1"/>
    </w:pPr>
    <w:rPr>
      <w:lang w:val="en-US" w:eastAsia="en-US"/>
    </w:rPr>
  </w:style>
  <w:style w:type="character" w:customStyle="1" w:styleId="BodyText2Char">
    <w:name w:val="Body Text 2 Char"/>
    <w:basedOn w:val="DefaultParagraphFont"/>
    <w:link w:val="BodyText2"/>
    <w:uiPriority w:val="99"/>
    <w:rsid w:val="0076741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6741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41C"/>
    <w:rPr>
      <w:b/>
      <w:bCs/>
      <w:kern w:val="36"/>
      <w:sz w:val="48"/>
      <w:szCs w:val="48"/>
      <w:lang w:val="en-US" w:eastAsia="en-US"/>
    </w:rPr>
  </w:style>
  <w:style w:type="character" w:styleId="Strong">
    <w:name w:val="Strong"/>
    <w:basedOn w:val="DefaultParagraphFont"/>
    <w:uiPriority w:val="22"/>
    <w:qFormat/>
    <w:rsid w:val="0076741C"/>
    <w:rPr>
      <w:b/>
      <w:bCs/>
    </w:rPr>
  </w:style>
  <w:style w:type="paragraph" w:styleId="NormalWeb">
    <w:name w:val="Normal (Web)"/>
    <w:basedOn w:val="Normal"/>
    <w:uiPriority w:val="99"/>
    <w:unhideWhenUsed/>
    <w:rsid w:val="0076741C"/>
    <w:pPr>
      <w:spacing w:before="100" w:beforeAutospacing="1" w:after="100" w:afterAutospacing="1"/>
    </w:pPr>
    <w:rPr>
      <w:lang w:val="en-US" w:eastAsia="en-US"/>
    </w:rPr>
  </w:style>
  <w:style w:type="character" w:styleId="Hyperlink">
    <w:name w:val="Hyperlink"/>
    <w:basedOn w:val="DefaultParagraphFont"/>
    <w:uiPriority w:val="99"/>
    <w:unhideWhenUsed/>
    <w:rsid w:val="0076741C"/>
  </w:style>
  <w:style w:type="paragraph" w:styleId="TOC1">
    <w:name w:val="toc 1"/>
    <w:basedOn w:val="Normal"/>
    <w:autoRedefine/>
    <w:uiPriority w:val="39"/>
    <w:unhideWhenUsed/>
    <w:rsid w:val="0076741C"/>
    <w:pPr>
      <w:spacing w:before="100" w:beforeAutospacing="1" w:after="100" w:afterAutospacing="1"/>
    </w:pPr>
    <w:rPr>
      <w:lang w:val="en-US" w:eastAsia="en-US"/>
    </w:rPr>
  </w:style>
  <w:style w:type="paragraph" w:styleId="BodyText2">
    <w:name w:val="Body Text 2"/>
    <w:basedOn w:val="Normal"/>
    <w:link w:val="BodyText2Char"/>
    <w:uiPriority w:val="99"/>
    <w:unhideWhenUsed/>
    <w:rsid w:val="0076741C"/>
    <w:pPr>
      <w:spacing w:before="100" w:beforeAutospacing="1" w:after="100" w:afterAutospacing="1"/>
    </w:pPr>
    <w:rPr>
      <w:lang w:val="en-US" w:eastAsia="en-US"/>
    </w:rPr>
  </w:style>
  <w:style w:type="character" w:customStyle="1" w:styleId="BodyText2Char">
    <w:name w:val="Body Text 2 Char"/>
    <w:basedOn w:val="DefaultParagraphFont"/>
    <w:link w:val="BodyText2"/>
    <w:uiPriority w:val="99"/>
    <w:rsid w:val="007674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org" TargetMode="External"/><Relationship Id="rId3" Type="http://schemas.openxmlformats.org/officeDocument/2006/relationships/settings" Target="settings.xml"/><Relationship Id="rId7" Type="http://schemas.openxmlformats.org/officeDocument/2006/relationships/hyperlink" Target="http://www.banktrack.org/show/pages/mailing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BankTrack.org" TargetMode="External"/><Relationship Id="rId11" Type="http://schemas.openxmlformats.org/officeDocument/2006/relationships/theme" Target="theme/theme1.xml"/><Relationship Id="rId5" Type="http://schemas.openxmlformats.org/officeDocument/2006/relationships/hyperlink" Target="mailto:MChan@fo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atrijs@banktrack.org?subject=Unsubscribe%20TrackTalk&amp;body=Please%20unsubscribe%20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2012-05-07T13:19:00Z</dcterms:created>
  <dcterms:modified xsi:type="dcterms:W3CDTF">2012-05-07T13:46:00Z</dcterms:modified>
</cp:coreProperties>
</file>